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EBC" w:rsidRPr="0021431F" w:rsidRDefault="00982EBC" w:rsidP="00982EBC">
      <w:pPr>
        <w:pStyle w:val="Szvegtrzs"/>
        <w:widowControl w:val="0"/>
        <w:spacing w:after="0" w:line="240" w:lineRule="auto"/>
        <w:jc w:val="center"/>
        <w:rPr>
          <w:rFonts w:ascii="Arial" w:hAnsi="Arial" w:cs="Arial"/>
          <w:b/>
          <w:bCs/>
          <w:sz w:val="22"/>
          <w:szCs w:val="22"/>
        </w:rPr>
      </w:pPr>
      <w:r w:rsidRPr="0021431F">
        <w:rPr>
          <w:rFonts w:ascii="Arial" w:hAnsi="Arial" w:cs="Arial"/>
          <w:b/>
          <w:bCs/>
          <w:sz w:val="22"/>
          <w:szCs w:val="22"/>
        </w:rPr>
        <w:t xml:space="preserve">Bácsalmás Város Önkormányzata Képviselő-testületének </w:t>
      </w:r>
    </w:p>
    <w:p w:rsidR="00982EBC" w:rsidRDefault="00982EBC" w:rsidP="00982EBC">
      <w:pPr>
        <w:pStyle w:val="Szvegtrzs"/>
        <w:widowControl w:val="0"/>
        <w:spacing w:after="0" w:line="240" w:lineRule="auto"/>
        <w:jc w:val="center"/>
        <w:rPr>
          <w:rFonts w:ascii="Arial" w:hAnsi="Arial" w:cs="Arial"/>
          <w:b/>
          <w:bCs/>
          <w:sz w:val="22"/>
          <w:szCs w:val="22"/>
        </w:rPr>
      </w:pPr>
      <w:r w:rsidRPr="0021431F">
        <w:rPr>
          <w:rFonts w:ascii="Arial" w:hAnsi="Arial" w:cs="Arial"/>
          <w:b/>
          <w:bCs/>
          <w:sz w:val="22"/>
          <w:szCs w:val="22"/>
        </w:rPr>
        <w:t>6/2023. (IV. 26.) önkormányzati rendelete</w:t>
      </w:r>
    </w:p>
    <w:p w:rsidR="00B542BC" w:rsidRPr="0021431F" w:rsidRDefault="00B542BC" w:rsidP="00982EBC">
      <w:pPr>
        <w:pStyle w:val="Szvegtrzs"/>
        <w:widowControl w:val="0"/>
        <w:spacing w:after="0" w:line="240" w:lineRule="auto"/>
        <w:jc w:val="center"/>
        <w:rPr>
          <w:rFonts w:ascii="Arial" w:hAnsi="Arial" w:cs="Arial"/>
          <w:b/>
          <w:bCs/>
          <w:sz w:val="22"/>
          <w:szCs w:val="22"/>
        </w:rPr>
      </w:pPr>
    </w:p>
    <w:p w:rsidR="00982EBC" w:rsidRPr="0021431F" w:rsidRDefault="00982EBC" w:rsidP="00982EBC">
      <w:pPr>
        <w:pStyle w:val="Szvegtrzs"/>
        <w:widowControl w:val="0"/>
        <w:spacing w:after="0" w:line="240" w:lineRule="auto"/>
        <w:jc w:val="center"/>
        <w:rPr>
          <w:rFonts w:ascii="Arial" w:hAnsi="Arial" w:cs="Arial"/>
          <w:b/>
          <w:bCs/>
          <w:sz w:val="22"/>
          <w:szCs w:val="22"/>
        </w:rPr>
      </w:pPr>
      <w:r w:rsidRPr="0021431F">
        <w:rPr>
          <w:rFonts w:ascii="Arial" w:hAnsi="Arial" w:cs="Arial"/>
          <w:b/>
          <w:bCs/>
          <w:sz w:val="22"/>
          <w:szCs w:val="22"/>
        </w:rPr>
        <w:t>a köztemetőről és a temetkezés rendjéről</w:t>
      </w:r>
    </w:p>
    <w:p w:rsidR="00982EBC" w:rsidRPr="0021431F" w:rsidRDefault="00982EBC" w:rsidP="00982EBC">
      <w:pPr>
        <w:pStyle w:val="Szvegtrzs"/>
        <w:widowControl w:val="0"/>
        <w:spacing w:after="0" w:line="240" w:lineRule="auto"/>
        <w:jc w:val="center"/>
        <w:rPr>
          <w:rFonts w:ascii="Arial" w:hAnsi="Arial" w:cs="Arial"/>
          <w:b/>
          <w:bCs/>
          <w:sz w:val="22"/>
          <w:szCs w:val="22"/>
        </w:rPr>
      </w:pP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Bácsalmás Város Önkormányzatának Képviselő-testülete a temetőkről és a temetkezési tevékenységről szóló 1999. évi XLIII. törvény 6. § (4) bekezdésben, 8. § (3) bekezdésben, 16. §-ban, 40. § (1)-(3) bekezdésben, 41. § (3) bekezdésben, 42. §-ban kapott felhatalmazás alapján, az Alaptörvény 32. cikk (1) bekezdés a) pontjában és Magyarország helyi önkormányzatairól szóló 2011. évi CLXXXIX. törvény 13. § (1) bekezdésének 2. pontjában meghatározott feladatkörében eljárva, a temetőkről és a temetkezési tevékenységről szóló 1999. évi XLIII. törvény 40. § (5) bekezdésében biztosított véleményezési jogkörében eljáró Fogyasztóvédelmi Egyesületek Országos Szövetsége, valamint Bácsalmás Város Képviselő-testülete és Szervei Szervezeti és Működési Szabályzatáról szóló 12/2019. (X.31.) önkormányzati rendelet 1. melléklet 1.2. h) pontjában, 2. b) pontjában és 3.1. k) pontjában biztosított véleményezési jogkörében eljáró Humánpolitikai Bizottság, Jogi és Ügyrendi Bizottság, Pénzügyi és Fejlesztési Bizottság véleményének kikérésével a következőket rendeli el:</w:t>
      </w:r>
    </w:p>
    <w:p w:rsidR="00982EBC" w:rsidRPr="0021431F" w:rsidRDefault="00982EBC" w:rsidP="00982EBC">
      <w:pPr>
        <w:pStyle w:val="Szvegtrzs"/>
        <w:widowControl w:val="0"/>
        <w:spacing w:before="280" w:after="0" w:line="240" w:lineRule="auto"/>
        <w:jc w:val="center"/>
        <w:rPr>
          <w:rFonts w:ascii="Arial" w:hAnsi="Arial" w:cs="Arial"/>
          <w:b/>
          <w:bCs/>
          <w:sz w:val="22"/>
          <w:szCs w:val="22"/>
        </w:rPr>
      </w:pPr>
      <w:r w:rsidRPr="0021431F">
        <w:rPr>
          <w:rFonts w:ascii="Arial" w:hAnsi="Arial" w:cs="Arial"/>
          <w:b/>
          <w:bCs/>
          <w:sz w:val="22"/>
          <w:szCs w:val="22"/>
        </w:rPr>
        <w:t>1. A rendelet hatálya</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rendelet hatálya kiterjed Bácsalmás város területén lévő köztemetőre, valamint az ennek fenntartásával és a temetésekkel kapcsolatos összes tevékenységre.</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(2) Működő köztemető: Kálvária temető 1494. </w:t>
      </w:r>
      <w:proofErr w:type="spellStart"/>
      <w:r w:rsidRPr="0021431F">
        <w:rPr>
          <w:rFonts w:ascii="Arial" w:hAnsi="Arial" w:cs="Arial"/>
          <w:sz w:val="22"/>
          <w:szCs w:val="22"/>
        </w:rPr>
        <w:t>hrszú</w:t>
      </w:r>
      <w:proofErr w:type="spellEnd"/>
      <w:r w:rsidRPr="0021431F">
        <w:rPr>
          <w:rFonts w:ascii="Arial" w:hAnsi="Arial" w:cs="Arial"/>
          <w:sz w:val="22"/>
          <w:szCs w:val="22"/>
        </w:rPr>
        <w:t xml:space="preserve"> része.</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Az önkormányzat tulajdonát képezi az 1491/2. hrsz-</w:t>
      </w:r>
      <w:proofErr w:type="spellStart"/>
      <w:r w:rsidRPr="0021431F">
        <w:rPr>
          <w:rFonts w:ascii="Arial" w:hAnsi="Arial" w:cs="Arial"/>
          <w:sz w:val="22"/>
          <w:szCs w:val="22"/>
        </w:rPr>
        <w:t>on</w:t>
      </w:r>
      <w:proofErr w:type="spellEnd"/>
      <w:r w:rsidRPr="0021431F">
        <w:rPr>
          <w:rFonts w:ascii="Arial" w:hAnsi="Arial" w:cs="Arial"/>
          <w:sz w:val="22"/>
          <w:szCs w:val="22"/>
        </w:rPr>
        <w:t xml:space="preserve"> található ravatalozó épület.</w:t>
      </w:r>
    </w:p>
    <w:p w:rsidR="00982EBC" w:rsidRPr="0021431F" w:rsidRDefault="00982EBC" w:rsidP="00982EBC">
      <w:pPr>
        <w:pStyle w:val="Szvegtrzs"/>
        <w:widowControl w:val="0"/>
        <w:spacing w:before="280" w:after="0" w:line="240" w:lineRule="auto"/>
        <w:jc w:val="center"/>
        <w:rPr>
          <w:rFonts w:ascii="Arial" w:hAnsi="Arial" w:cs="Arial"/>
          <w:b/>
          <w:bCs/>
          <w:sz w:val="22"/>
          <w:szCs w:val="22"/>
        </w:rPr>
      </w:pPr>
      <w:r w:rsidRPr="0021431F">
        <w:rPr>
          <w:rFonts w:ascii="Arial" w:hAnsi="Arial" w:cs="Arial"/>
          <w:b/>
          <w:bCs/>
          <w:sz w:val="22"/>
          <w:szCs w:val="22"/>
        </w:rPr>
        <w:t>2. Általános rendelkezések</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2.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Bácsalmás város területén köztemető létesítése, bővítése, lezárása és megszüntetése a települési önkormányzat feladata.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önkormányzat ellátja a tulajdonosi és fenntartói feladatokat.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Az önkormányzat a temetőüzemeltetési feladatok ellátásáról gazdálkodó szervezet útján - kegyeleti közszolgáltatási szerződés keretein belül - gondoskodik. A gazdálkodó szervezet kegyeleti közszolgáltatás mellett temetkezési szolgáltatást is végezhet.</w:t>
      </w:r>
    </w:p>
    <w:p w:rsidR="00982EBC" w:rsidRPr="0021431F" w:rsidRDefault="00982EBC" w:rsidP="00982EBC">
      <w:pPr>
        <w:pStyle w:val="Szvegtrzs"/>
        <w:widowControl w:val="0"/>
        <w:spacing w:before="280" w:after="0" w:line="240" w:lineRule="auto"/>
        <w:jc w:val="center"/>
        <w:rPr>
          <w:rFonts w:ascii="Arial" w:hAnsi="Arial" w:cs="Arial"/>
          <w:b/>
          <w:bCs/>
          <w:sz w:val="22"/>
          <w:szCs w:val="22"/>
        </w:rPr>
      </w:pPr>
      <w:r w:rsidRPr="0021431F">
        <w:rPr>
          <w:rFonts w:ascii="Arial" w:hAnsi="Arial" w:cs="Arial"/>
          <w:b/>
          <w:bCs/>
          <w:sz w:val="22"/>
          <w:szCs w:val="22"/>
        </w:rPr>
        <w:t>3. A temető használatának rendje</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3.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temető infrastruktúrájának, létesítményeinek, a temetkezési szolgáltatások igénybevételét az üzemeltetőtől kell kérni. A folyamatos elérhetőséget (iroda, ügyelet, ügyeleti telefonszám) az üzemeltető biztosítani köteles.</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temető nyitvatartási idejét az üzemeltető határozza meg.</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temetőben mindenkinek a hely csendjének, a kegyeletnek megfelelő magatartást kell tanúsítania.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lastRenderedPageBreak/>
        <w:t>(4) A temető területére a látássérült személy beviheti magával a vakvezető kutyáját. Gépjárművel csak halottszállítás, munkavégzés céljából lehet behajtani, kivéve azon személyeket, akik testi-fizikai adottságaik miatt a gyalogos közlekedésre képtelenek.</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A temetőben a kegyeleti tárgyakat, a sírokra ültetett fákat és növényeket, valamint a sírok díszítésére szolgáló anyagokat beszennyezni tilos.</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(6) A temetési helyek kerítéssel nem határolhatók körül. Padot elhelyezni az üzemeltető engedélyével szabad, amennyiben az a gépjármű- és gyalogos közlekedését nem akadályozza.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(7) A temetőben tűzveszélyes tevékenységet végezni csak a tűzvédelmi előírások betartásával szabad.</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4.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temetési hely birtokosa által végezhető munka</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a)</w:t>
      </w:r>
      <w:r w:rsidRPr="0021431F">
        <w:rPr>
          <w:rFonts w:ascii="Arial" w:hAnsi="Arial" w:cs="Arial"/>
          <w:sz w:val="22"/>
          <w:szCs w:val="22"/>
        </w:rPr>
        <w:tab/>
        <w:t>az egynyári, vagy évelő lágyszárú dísznövények ültetése, ápolása;</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b)</w:t>
      </w:r>
      <w:r w:rsidRPr="0021431F">
        <w:rPr>
          <w:rFonts w:ascii="Arial" w:hAnsi="Arial" w:cs="Arial"/>
          <w:sz w:val="22"/>
          <w:szCs w:val="22"/>
        </w:rPr>
        <w:tab/>
        <w:t>a cserepes, vágott- és művirág, koszorú elhelyezése;</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c)</w:t>
      </w:r>
      <w:r w:rsidRPr="0021431F">
        <w:rPr>
          <w:rFonts w:ascii="Arial" w:hAnsi="Arial" w:cs="Arial"/>
          <w:sz w:val="22"/>
          <w:szCs w:val="22"/>
        </w:rPr>
        <w:tab/>
        <w:t>olyan fás szárú növények ültetése, melyek kifejlett állapotban nem érik el a 2 m-es magasságot és beletartoznak az üzemeltető által engedélyezett faj és fajtacsoportba. Az engedélyezett fajták jegyzékét a hirdetőtáblán ki kell függeszteni.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sírhely birtokosa köteles a sírhely gondozását, gyomtalanítását rendszeresen el- végezni.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látogatók díj nélkül igénybe vehetik az öntözéshez szükséges vízszolgáltatást.</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5.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temetőben végzendő minden munkát - kivéve a 4. § (1) bekezdésében foglaltakat - a temető üzemeltetőjének be kell jelenteni. Be kell jelenteni továbbá ezen munkálatok végzésének időpontját és várható időtartamát.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előírt engedély hiánya, vagy az attól való eltérés esetén, továbbá az 4. § (2) bekezdésében szereplő kötelezettség elmulasztásakor az üzemeltető</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a)</w:t>
      </w:r>
      <w:r w:rsidRPr="0021431F">
        <w:rPr>
          <w:rFonts w:ascii="Arial" w:hAnsi="Arial" w:cs="Arial"/>
          <w:sz w:val="22"/>
          <w:szCs w:val="22"/>
        </w:rPr>
        <w:tab/>
        <w:t>a sírhely birtokosát - határidő kitűzésével - felhívja a sérelmes állapot megszüntetésére;</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b)</w:t>
      </w:r>
      <w:r w:rsidRPr="0021431F">
        <w:rPr>
          <w:rFonts w:ascii="Arial" w:hAnsi="Arial" w:cs="Arial"/>
          <w:sz w:val="22"/>
          <w:szCs w:val="22"/>
        </w:rPr>
        <w:tab/>
        <w:t xml:space="preserve">a felhívás </w:t>
      </w:r>
      <w:proofErr w:type="spellStart"/>
      <w:r w:rsidRPr="0021431F">
        <w:rPr>
          <w:rFonts w:ascii="Arial" w:hAnsi="Arial" w:cs="Arial"/>
          <w:sz w:val="22"/>
          <w:szCs w:val="22"/>
        </w:rPr>
        <w:t>eredménytelensége</w:t>
      </w:r>
      <w:proofErr w:type="spellEnd"/>
      <w:r w:rsidRPr="0021431F">
        <w:rPr>
          <w:rFonts w:ascii="Arial" w:hAnsi="Arial" w:cs="Arial"/>
          <w:sz w:val="22"/>
          <w:szCs w:val="22"/>
        </w:rPr>
        <w:t xml:space="preserve"> esetén a szükséges munkát elvégzi (elvégezteti) és annak költségeit áthárítja a sírhely birtokosára.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(3) A munka befejezését követően a munkát végző haladéktalanul köteles a visszamaradt anyagokat (törmelék, megmaradt építési anyag, </w:t>
      </w:r>
      <w:proofErr w:type="gramStart"/>
      <w:r w:rsidRPr="0021431F">
        <w:rPr>
          <w:rFonts w:ascii="Arial" w:hAnsi="Arial" w:cs="Arial"/>
          <w:sz w:val="22"/>
          <w:szCs w:val="22"/>
        </w:rPr>
        <w:t>burkolóanyagok,</w:t>
      </w:r>
      <w:proofErr w:type="gramEnd"/>
      <w:r w:rsidRPr="0021431F">
        <w:rPr>
          <w:rFonts w:ascii="Arial" w:hAnsi="Arial" w:cs="Arial"/>
          <w:sz w:val="22"/>
          <w:szCs w:val="22"/>
        </w:rPr>
        <w:t xml:space="preserve"> stb.) a temetőből elszállítani. A munka akkor minősül befejezettnek, ha a munkaterület tiszta, rendezett állapotban van.</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(4) A temetési hely és az </w:t>
      </w:r>
      <w:proofErr w:type="spellStart"/>
      <w:r w:rsidRPr="0021431F">
        <w:rPr>
          <w:rFonts w:ascii="Arial" w:hAnsi="Arial" w:cs="Arial"/>
          <w:sz w:val="22"/>
          <w:szCs w:val="22"/>
        </w:rPr>
        <w:t>újraváltás</w:t>
      </w:r>
      <w:proofErr w:type="spellEnd"/>
      <w:r w:rsidRPr="0021431F">
        <w:rPr>
          <w:rFonts w:ascii="Arial" w:hAnsi="Arial" w:cs="Arial"/>
          <w:sz w:val="22"/>
          <w:szCs w:val="22"/>
        </w:rPr>
        <w:t xml:space="preserve"> díját, a temetőben </w:t>
      </w:r>
      <w:proofErr w:type="spellStart"/>
      <w:r w:rsidRPr="0021431F">
        <w:rPr>
          <w:rFonts w:ascii="Arial" w:hAnsi="Arial" w:cs="Arial"/>
          <w:sz w:val="22"/>
          <w:szCs w:val="22"/>
        </w:rPr>
        <w:t>vállalkozásszerűen</w:t>
      </w:r>
      <w:proofErr w:type="spellEnd"/>
      <w:r w:rsidRPr="0021431F">
        <w:rPr>
          <w:rFonts w:ascii="Arial" w:hAnsi="Arial" w:cs="Arial"/>
          <w:sz w:val="22"/>
          <w:szCs w:val="22"/>
        </w:rPr>
        <w:t xml:space="preserve"> munkát végzők által fizetendő temető-fenntartási hozzájárulás díját, a temetői létesítmények, illetve az üzemeltető által biztosított szolgáltatások igénybevételéért a temetkezési szolgáltatók által fizetendő díjat az e rendelet 1. melléklet</w:t>
      </w:r>
      <w:r w:rsidRPr="0021431F">
        <w:rPr>
          <w:rFonts w:ascii="Arial" w:hAnsi="Arial" w:cs="Arial"/>
          <w:i/>
          <w:iCs/>
          <w:sz w:val="22"/>
          <w:szCs w:val="22"/>
        </w:rPr>
        <w:t xml:space="preserve">e </w:t>
      </w:r>
      <w:r w:rsidRPr="0021431F">
        <w:rPr>
          <w:rFonts w:ascii="Arial" w:hAnsi="Arial" w:cs="Arial"/>
          <w:sz w:val="22"/>
          <w:szCs w:val="22"/>
        </w:rPr>
        <w:t>tartalmazza.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A munkavégzés bejelentésének elmulasztása esetén az üzemeltető jogosult az észlelt tartamra szólóan az 1. mellékletben megállapított díjat előírni. E jogosultsága a bejelentett, de nem megfelelően átadott munkaterületre is fennáll a (3) bekezdésben megkövetelt állapot kivitelezéséig.</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(6) A temető területéről sírkövet, síremléket és fejfát - vagyonvédelmi okokból - csak a temető üzemeltetőjének történt előzetes bejelentés után szabad kivinni.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(7) A temetői munkák során (így különösen rátemetés, exhumálás, áthelyezés) talált értékekről </w:t>
      </w:r>
      <w:r w:rsidRPr="0021431F">
        <w:rPr>
          <w:rFonts w:ascii="Arial" w:hAnsi="Arial" w:cs="Arial"/>
          <w:sz w:val="22"/>
          <w:szCs w:val="22"/>
        </w:rPr>
        <w:lastRenderedPageBreak/>
        <w:t>(ékszer, nemesfémből készült protézis), és a találás körülményeiről jegyzőkönyvet kell felvenni. A talált érték biztonságos megőrzéséről gondoskodni kell a jogosultnak történő átadásig.</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6.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 xml:space="preserve">(1) Temetkezési szolgáltatásnak minősül a temetésfelvétel, halottszállítás, az elhunyt temetésre való előkészítése és a temetéshez szükséges kellékekkel való ellátása, a ravatalozás, a búcsúztatás, a sírba helyezés, a hamvasztás, az urnaelhelyezés, az urna kiadás, a hamvak szórása, a sírnyitás, az exhumálás és az </w:t>
      </w:r>
      <w:proofErr w:type="spellStart"/>
      <w:r w:rsidRPr="0021431F">
        <w:rPr>
          <w:rFonts w:ascii="Arial" w:hAnsi="Arial" w:cs="Arial"/>
          <w:sz w:val="22"/>
          <w:szCs w:val="22"/>
        </w:rPr>
        <w:t>újratemetés</w:t>
      </w:r>
      <w:proofErr w:type="spellEnd"/>
      <w:r w:rsidRPr="0021431F">
        <w:rPr>
          <w:rFonts w:ascii="Arial" w:hAnsi="Arial" w:cs="Arial"/>
          <w:sz w:val="22"/>
          <w:szCs w:val="22"/>
        </w:rPr>
        <w: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üzemeltető köteles a köztemetőn belüli, az elhunyt hűtésével, a temetőben erre a célra rendszeresített szállító járművön történő szállításával, továbbá a hamvaknak az erre szolgáló berendezéssel történő szórásával, sírhelynyitással és visszahantolással kapcsolatos feladatok ellátására szakszemélyzetének és berendezésének igénybe-vételét biztosítani (az üzemeltető által biztosított szolgáltatás).</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Köztemetőn belül az elhunyt hűtését, kriptanyitást, a sírhely kijelölését, új sírhely ásását, a sírhely ügyintézését az üzemeltető kizárólagosan végezheti. Ezért az üzemeltető szakszemélyzetének, berendezéseinek és kellékeinek az igénybevétele kötelező és e rendeletben meghatározott díjat kötelesek fizetni az igénybe vett szolgáltatásért.</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7.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temetés módjára az elhunytnak életében tett nyilatkozata, ennek hiányában a temetésről gondoskodó személy rendelkezése az irányadó.</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rendelkezésre jogosultságot az üzemeltető csak akkor köteles vizsgálni, ha azzal kapcsolatban kifogást jelentettek be. Ha a temetésről több személy gondoskodik és közöttük az eltemetés módja tekintetében nincs megegyezés, a temetés csak elhamvasztás nélkül történhet.</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8.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felravatalozott koporsót - az eltemettető kívánságára - a búcsúztatás (szertartás) megkezdéséig nyitva lehet tartani. Nem lehet nyitva tartani az oszlási, vagy roncsolt állapotban lévő holttest koporsóját.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fertőző betegségben elhunytak koporsóját légmentesen lezárt állapotban kell felravatalozni és azt felnyitni nem szabad. A gyászolók a koporsóval nem érintkezhetnek.</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9.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halottat eltemetni, az elhamvasztott halott maradványait elhelyezni - a (2) bekezdésben foglaltak kivételével - temetőben vagy temetkezési emlékhelyen létesített temetési helyen szabad.</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eltemettető vagy egyetértésével más hozzátartozó kívánságára az urnát a hatályos jogszabályok szerint - az átvétel egyidejű igazolása mellett - ki kell adni, és ennek megtörténtét a nyilvántartásba is fel kell jegyezni.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temetőben már korábban elhelyezett urnák kérelemre történő kiadásáról az üzemeltető gondoskodik. Az urna kiadását az kérheti, aki a hamvasztásról gondoskodott, vagy az elhalt közeli hozzátartozója.</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(4) Amennyiben az urna kiadását kérő személy nem azonos a </w:t>
      </w:r>
      <w:proofErr w:type="spellStart"/>
      <w:r w:rsidRPr="0021431F">
        <w:rPr>
          <w:rFonts w:ascii="Arial" w:hAnsi="Arial" w:cs="Arial"/>
          <w:sz w:val="22"/>
          <w:szCs w:val="22"/>
        </w:rPr>
        <w:t>hamvasztásos</w:t>
      </w:r>
      <w:proofErr w:type="spellEnd"/>
      <w:r w:rsidRPr="0021431F">
        <w:rPr>
          <w:rFonts w:ascii="Arial" w:hAnsi="Arial" w:cs="Arial"/>
          <w:sz w:val="22"/>
          <w:szCs w:val="22"/>
        </w:rPr>
        <w:t xml:space="preserve"> temetésről gondoskodóval, úgy az urna részére történő kiadásához a temetésről gondoskodótól hozzájárulást kell beszerezni. Ilyen személy hiányában a hozzájárulást a Polgári </w:t>
      </w:r>
      <w:r w:rsidRPr="0021431F">
        <w:rPr>
          <w:rFonts w:ascii="Arial" w:hAnsi="Arial" w:cs="Arial"/>
          <w:sz w:val="22"/>
          <w:szCs w:val="22"/>
        </w:rPr>
        <w:lastRenderedPageBreak/>
        <w:t>Törvénykönyvben meghatározott sorrendben az elhalt legközelebb álló hozzátartozójától kell beszereznie.</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10.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 temetőt sírhelytáblákra, gyermeksírhely-, urnasírhely-, sírbolt táblákra, valamint hamvak szétszórására alkalmas területekre lehet felosztani.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sírhelytáblák olyan temetőrészeket jelölnek, amelyeket a nyugvási idő elteltével - szabályszerű eljárás mellett - ki lehet üríteni és temetés céljából igénybe lehet venni. Külön sírhelytáblákat kell kijelölni a felnőttek, a 10 éven aluli gyermekek eltemetésére.</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táblákat folyószámmal ellátott sorokra, a sorokat pedig sorszámokkal sírhelyekre kell felosztani.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(4) A sírhelyeket a temetés alatt álló sírhelytáblákban - főszabályként - folytatólagos sorrendben kell felhasználni.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A betelt sírhelytáblákat az utolsó temetés napjával le kell zárni. Lezárt sírhelytáblába a koporsós temetés csak sírboltba vagy kettős sírhelybe engedélyezhető.</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(6) Az urnát a temetőn belüli sírhelyben (rátemetéssel), urnasírban, vagy sírboltban lehet elhelyezni.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(7) A lezárt temetőben temetkezési tevékenységet nem lehet folytatni. A lezárt temetőt mindaddig kegyeleti helyként kell gondozni, amíg felszámolásáról döntés nem születik.</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(8) Lezárt temetőből és sírhelytáblából a holttest-maradványokat exhumálás útján lehet áthelyezni a használatban lévő temetőbe (sírhelytáblába). Az exhumálást csak az illetékes tisztifőorvos engedélye és előírásai szerint lehet elvégezni, lezárt temetőből a holttest-maradványok elszállítását az üzemeltetőnek be kell jelenteni.</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11.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Az egyszeri megváltás időtartama</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a)</w:t>
      </w:r>
      <w:r w:rsidRPr="0021431F">
        <w:rPr>
          <w:rFonts w:ascii="Arial" w:hAnsi="Arial" w:cs="Arial"/>
          <w:sz w:val="22"/>
          <w:szCs w:val="22"/>
        </w:rPr>
        <w:tab/>
        <w:t>sírbolt esetén 60 év,</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b)</w:t>
      </w:r>
      <w:r w:rsidRPr="0021431F">
        <w:rPr>
          <w:rFonts w:ascii="Arial" w:hAnsi="Arial" w:cs="Arial"/>
          <w:sz w:val="22"/>
          <w:szCs w:val="22"/>
        </w:rPr>
        <w:tab/>
        <w:t>urnasírbolt esetén 25 év,</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c)</w:t>
      </w:r>
      <w:r w:rsidRPr="0021431F">
        <w:rPr>
          <w:rFonts w:ascii="Arial" w:hAnsi="Arial" w:cs="Arial"/>
          <w:sz w:val="22"/>
          <w:szCs w:val="22"/>
        </w:rPr>
        <w:tab/>
        <w:t>sírhely esetén 25 év,</w:t>
      </w:r>
    </w:p>
    <w:p w:rsidR="00982EBC" w:rsidRPr="0021431F" w:rsidRDefault="00982EBC" w:rsidP="00982EBC">
      <w:pPr>
        <w:pStyle w:val="Szvegtrzs"/>
        <w:widowControl w:val="0"/>
        <w:spacing w:after="0" w:line="240" w:lineRule="auto"/>
        <w:ind w:left="580" w:hanging="560"/>
        <w:jc w:val="both"/>
        <w:rPr>
          <w:rFonts w:ascii="Arial" w:hAnsi="Arial" w:cs="Arial"/>
          <w:sz w:val="22"/>
          <w:szCs w:val="22"/>
        </w:rPr>
      </w:pPr>
      <w:r w:rsidRPr="0021431F">
        <w:rPr>
          <w:rFonts w:ascii="Arial" w:hAnsi="Arial" w:cs="Arial"/>
          <w:i/>
          <w:iCs/>
          <w:sz w:val="22"/>
          <w:szCs w:val="22"/>
        </w:rPr>
        <w:t>d)</w:t>
      </w:r>
      <w:r w:rsidRPr="0021431F">
        <w:rPr>
          <w:rFonts w:ascii="Arial" w:hAnsi="Arial" w:cs="Arial"/>
          <w:sz w:val="22"/>
          <w:szCs w:val="22"/>
        </w:rPr>
        <w:tab/>
        <w:t>urnafülke, urnasírhely esetén 20 év.</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üzemeltető az (1) bekezdés c) és d) pont szerinti temetkezési helyek kétszeres időtartamra történő megváltását is engedélyezheti.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használati idő eltelte után a temetkezési helyek - külön tiltó rendelkezés hiányában - újabb ciklusra megválthatók.</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(4) Ha a használati idő leteltét követően a sírboltot 5, az egyéb temetkezési helyeket 3 éven belül ismételten nem váltják meg, az üzemeltető jogosult azt minden megtérítési igény nélkül újból felhasználni.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Sírhelytábla, vagy az egész temető lezárásról és/vagy kiürítéséről Bácsalmás Város Önkormányzatának Képviselő-testülete dönt. A temető kiürítését megelőzően azt három alkalommal egy országos lapban és a helyi sajtóban, valamint a temetői hirdetőtáblán közhírré kell tenni úgy, hogy az első közzététel a kiürítés előtt 6 hónappal, a továbbiak pedig 2 havonta történjenek.</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lastRenderedPageBreak/>
        <w:t>(6) Ha a használat a (4) és (5) bekezdésben foglalt okok miatt szűnik meg, a temetkezési hely feltárásakor a kiürített sírokból származó holttestmaradványokat, urnatartalmat közös sírhelyben kell elhelyezni, amelyről az elhunyt hozzátartozói, az ő rendelkezésük hiányában a kegyeleti szokások, valamint a közegészségügyi előírások betartása mellett az üzemeltető köteles gondoskodni.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(7) A temetkezési helyek használatának jogát magánszemélyek között átruházni nem lehet, de a sírhelyet újra megváltó hozzátartozó használati jogot szerez.</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(8) A temettető kívánságára történő halott- és urnaáthelyezés, vagy urnakiadás folytán megürült sírhelyek és urnafülkék számlával igazolt megváltási díjának időarányos részét a jogosult részére vissza kell téríteni.</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12.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Az egyes temetői sírhelyeket az e rendelet 2. mellékletének 1. pontjában foglalt táblázat szerint meghatározott méretek alapján kell kialakítani.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Az egyes temetői sírboltokat az e rendelet 2. mellékletének 2. pontjában foglalt táblázat szerint meghatározott méretek alapján kell kialakítani.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 sírok egymástól való oldaltávolságának legalább 60 cm-nek, gyermek síroknál pedig legalább 30 cm-nek kell lennie. A sírdombok magassága legfeljebb 50 cm lehet.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(4) Mélyített felnőtt sírhelybe (220 cm) tisztiorvosi engedély alapján, a rendelet 1. mellékletében meghatározott pótdíj fizetése ellenében - még egy koporsó temethető. A pótdíjat a következő sírhely meghosszabbításánál időarányosan be kell számítani.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Felnőtt sírba elhelyezett két koporsón kívül még két urna is temethető. Koporsóban történő rátemetés alkalmazása nélkül a sírban még 4 urna helyezhető el. Elhaltanként a pótdíj mértéke a (4) bekezdés szerinti, ez azonban a sírhely használati idejét nem hosszabbítja meg.</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(6) Felnőtt sírhely-díj befizetése mellett a felnőtt sírhelytáblába 10 éven aluli gyermek is temethető. Ilyen esetben azonban a sír méreteinek a felnőtt sír méreteivel azonosnak kell lennie.</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(7) Az elhalálozástól számított öt éven belül sír (sírbolt) felnyitására engedély csak hamvasztás, más temetőbe való áthelyezés és rátemetés céljából, illetve a nyomozó hatóság rendelkezésére adható. A kolerában, pestisben, leprában, sárgalázban, kiütéses tífuszban, takonykórban, AIDS-ben, vírusos </w:t>
      </w:r>
      <w:proofErr w:type="spellStart"/>
      <w:r w:rsidRPr="0021431F">
        <w:rPr>
          <w:rFonts w:ascii="Arial" w:hAnsi="Arial" w:cs="Arial"/>
          <w:sz w:val="22"/>
          <w:szCs w:val="22"/>
        </w:rPr>
        <w:t>hemorrhagiás</w:t>
      </w:r>
      <w:proofErr w:type="spellEnd"/>
      <w:r w:rsidRPr="0021431F">
        <w:rPr>
          <w:rFonts w:ascii="Arial" w:hAnsi="Arial" w:cs="Arial"/>
          <w:sz w:val="22"/>
          <w:szCs w:val="22"/>
        </w:rPr>
        <w:t xml:space="preserve"> lázban elhunytak temetési helyének megnyitására csak az elhalálozástól számított egy év elteltével adható engedély.</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(8) A sírhelyeket kifalazni, kibetonozni nem lehet.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(9) A sírhelyeken sírdomb kialakítása (felhantolás) nem kötelező. A hant nélküli parcellák létesítésére kijelölt területen sírdomb nem alakítható ki.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(10) Rátemetés esetén - a balesetek elkerülése végett - a síremléket a temettetőnek le kell bontania és újból, biztonságosan fel kell </w:t>
      </w:r>
      <w:proofErr w:type="spellStart"/>
      <w:r w:rsidRPr="0021431F">
        <w:rPr>
          <w:rFonts w:ascii="Arial" w:hAnsi="Arial" w:cs="Arial"/>
          <w:sz w:val="22"/>
          <w:szCs w:val="22"/>
        </w:rPr>
        <w:t>állíttatnia</w:t>
      </w:r>
      <w:proofErr w:type="spellEnd"/>
      <w:r w:rsidRPr="0021431F">
        <w:rPr>
          <w:rFonts w:ascii="Arial" w:hAnsi="Arial" w:cs="Arial"/>
          <w:sz w:val="22"/>
          <w:szCs w:val="22"/>
        </w:rPr>
        <w:t>.</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(11) Az urnafülke kialakítása: fekete, vagy egyéb színű gránitlap csavarozott és ragasztott kialakítással, a feliratozás vésett kivitelben. Díszítés karcolt, vésett kivitelben a lapon igény szerint elhelyezhető. Költsége az eltemettetőt terheli.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(12) Első számú sírhelynek minősülnek a közvetlenül a közlekedési utak mentén fekvő sírhelyek, másodosztályú sírhelynek minősülnek az első osztályú helyek között fekvő sírhelyek, harmadosztályú sírhelynek minősülnek a köztemetés számára felhasznált sírhelyek fekvéstől </w:t>
      </w:r>
      <w:r w:rsidRPr="0021431F">
        <w:rPr>
          <w:rFonts w:ascii="Arial" w:hAnsi="Arial" w:cs="Arial"/>
          <w:sz w:val="22"/>
          <w:szCs w:val="22"/>
        </w:rPr>
        <w:lastRenderedPageBreak/>
        <w:t>függetlenül. A temetőkataszteren az osztályba sorolást szerepeltetni kell.</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13.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(1) Sírboltot csak kiviteli terv alapján lehet építeni, a tervet az üzemeltetőnek be kell mutatni.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(2) A sírbolt felett rendelkezőnek az tekinthető, aki a használati díjat megfizette.</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(3) Az önkormányzat a temetési hely felett rendelkezni jogosultat a biztonságos használatot veszélyeztető sírjel vagy a sírbolt helyreállítására köteles felhívni. A felhívást - a temetési hely megjelölésével - a temető hirdetőtábláján és a parcella sarkán 90 napra ki kell függeszteni, és a felhívás közlését a rendelkezésre jogosult ismert lakcímén is meg kell kísérelni.</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 xml:space="preserve">(4) Ha a sírjel felett rendelkezni jogosult a felhívás ellenére a </w:t>
      </w:r>
      <w:proofErr w:type="spellStart"/>
      <w:r w:rsidRPr="0021431F">
        <w:rPr>
          <w:rFonts w:ascii="Arial" w:hAnsi="Arial" w:cs="Arial"/>
          <w:sz w:val="22"/>
          <w:szCs w:val="22"/>
        </w:rPr>
        <w:t>sírjelet</w:t>
      </w:r>
      <w:proofErr w:type="spellEnd"/>
      <w:r w:rsidRPr="0021431F">
        <w:rPr>
          <w:rFonts w:ascii="Arial" w:hAnsi="Arial" w:cs="Arial"/>
          <w:sz w:val="22"/>
          <w:szCs w:val="22"/>
        </w:rPr>
        <w:t xml:space="preserve"> nem állítja helyre és az életet is fenyegető közvetlen veszély áll fenn, akkor a közvetlen veszélyt a rendelkezni jogosult költségére a temető tulajdonosa szünteti meg.</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(5) Arra nézve, hogy a sírboltba kik temetkezhetnek, a létesítőnek a sírbolt-könyvbe bejegyzett rendelkezései az irányadók.</w:t>
      </w:r>
    </w:p>
    <w:p w:rsidR="00982EBC" w:rsidRPr="0021431F" w:rsidRDefault="00982EBC" w:rsidP="00982EBC">
      <w:pPr>
        <w:pStyle w:val="Szvegtrzs"/>
        <w:widowControl w:val="0"/>
        <w:spacing w:before="240" w:after="0" w:line="240" w:lineRule="auto"/>
        <w:jc w:val="both"/>
        <w:rPr>
          <w:rFonts w:ascii="Arial" w:hAnsi="Arial" w:cs="Arial"/>
          <w:sz w:val="22"/>
          <w:szCs w:val="22"/>
        </w:rPr>
      </w:pPr>
      <w:r w:rsidRPr="0021431F">
        <w:rPr>
          <w:rFonts w:ascii="Arial" w:hAnsi="Arial" w:cs="Arial"/>
          <w:sz w:val="22"/>
          <w:szCs w:val="22"/>
        </w:rPr>
        <w:t>(6) A sírboltba koporsóban csak annyi elhalt temethető, ahány férőhelyre azt építették. Ezen túl három férőhelyes sírboltban további 10 urna, hatszemélyes sírboltban további 20 urna, kilenc személyes sírboltban további 30 urna helyezhető el. Amennyiben a sírbolt tulajdonosa (birtokosa) a temetkezési jogosultságáról a sírbolt-könyvben vagy végrendeletileg nem tett rendelkezést, úgy a sírboltban az elhalt hozzátartozói az elhalálozás sorrendjében temethetők el. A sírbolt tulajdonosának (birtokosának) kérelmére a sírboltban elhelyezett koporsókban lévő, porladáson túli csontmaradványokat össze kell gyűjteni és hamvasztás után urnában, továbbá gyermekkoporsóban a sírboltba vissza kell helyezni. Ebben az esetben a maradványok csak egy urnahelynek számítanak.</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14.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A panaszügyintézés az üzemeltető feladata, melyet a központi telephelyén lát el.</w:t>
      </w:r>
    </w:p>
    <w:p w:rsidR="00982EBC" w:rsidRPr="0021431F" w:rsidRDefault="00982EBC" w:rsidP="00982EBC">
      <w:pPr>
        <w:pStyle w:val="Szvegtrzs"/>
        <w:widowControl w:val="0"/>
        <w:spacing w:before="280" w:after="0" w:line="240" w:lineRule="auto"/>
        <w:jc w:val="center"/>
        <w:rPr>
          <w:rFonts w:ascii="Arial" w:hAnsi="Arial" w:cs="Arial"/>
          <w:b/>
          <w:bCs/>
          <w:sz w:val="22"/>
          <w:szCs w:val="22"/>
        </w:rPr>
      </w:pPr>
      <w:r w:rsidRPr="0021431F">
        <w:rPr>
          <w:rFonts w:ascii="Arial" w:hAnsi="Arial" w:cs="Arial"/>
          <w:b/>
          <w:bCs/>
          <w:sz w:val="22"/>
          <w:szCs w:val="22"/>
        </w:rPr>
        <w:t>4. Záró rendelkezések</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15. §</w:t>
      </w:r>
    </w:p>
    <w:p w:rsidR="00982EBC" w:rsidRPr="0021431F"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Hatályát veszti a köztemetőkről és a temetkezés rendjéről szóló 3/2019.(II.28.) önkormányzati rendelet.</w:t>
      </w:r>
    </w:p>
    <w:p w:rsidR="00982EBC" w:rsidRPr="0021431F" w:rsidRDefault="00982EBC" w:rsidP="00982EBC">
      <w:pPr>
        <w:pStyle w:val="Szvegtrzs"/>
        <w:widowControl w:val="0"/>
        <w:spacing w:before="240" w:after="240" w:line="240" w:lineRule="auto"/>
        <w:jc w:val="center"/>
        <w:rPr>
          <w:rFonts w:ascii="Arial" w:hAnsi="Arial" w:cs="Arial"/>
          <w:b/>
          <w:bCs/>
          <w:sz w:val="22"/>
          <w:szCs w:val="22"/>
        </w:rPr>
      </w:pPr>
      <w:r w:rsidRPr="0021431F">
        <w:rPr>
          <w:rFonts w:ascii="Arial" w:hAnsi="Arial" w:cs="Arial"/>
          <w:b/>
          <w:bCs/>
          <w:sz w:val="22"/>
          <w:szCs w:val="22"/>
        </w:rPr>
        <w:t>16. §</w:t>
      </w:r>
    </w:p>
    <w:p w:rsidR="00982EBC" w:rsidRDefault="00982EBC" w:rsidP="00982EBC">
      <w:pPr>
        <w:pStyle w:val="Szvegtrzs"/>
        <w:widowControl w:val="0"/>
        <w:spacing w:after="0" w:line="240" w:lineRule="auto"/>
        <w:jc w:val="both"/>
        <w:rPr>
          <w:rFonts w:ascii="Arial" w:hAnsi="Arial" w:cs="Arial"/>
          <w:sz w:val="22"/>
          <w:szCs w:val="22"/>
        </w:rPr>
      </w:pPr>
      <w:r w:rsidRPr="0021431F">
        <w:rPr>
          <w:rFonts w:ascii="Arial" w:hAnsi="Arial" w:cs="Arial"/>
          <w:sz w:val="22"/>
          <w:szCs w:val="22"/>
        </w:rPr>
        <w:t>Ez a rendelet 2023. április 27-én lép hatályba.</w:t>
      </w:r>
    </w:p>
    <w:p w:rsidR="00982EBC" w:rsidRDefault="00982EBC" w:rsidP="00982EBC">
      <w:pPr>
        <w:pStyle w:val="Szvegtrzs"/>
        <w:widowControl w:val="0"/>
        <w:spacing w:after="0" w:line="240" w:lineRule="auto"/>
        <w:jc w:val="both"/>
        <w:rPr>
          <w:rFonts w:ascii="Arial" w:hAnsi="Arial" w:cs="Arial"/>
          <w:sz w:val="22"/>
          <w:szCs w:val="22"/>
        </w:rPr>
      </w:pPr>
    </w:p>
    <w:p w:rsidR="00982EBC" w:rsidRDefault="00982EBC" w:rsidP="00982EBC">
      <w:pPr>
        <w:pStyle w:val="Szvegtrzs"/>
        <w:widowControl w:val="0"/>
        <w:spacing w:after="0" w:line="240" w:lineRule="auto"/>
        <w:jc w:val="both"/>
        <w:rPr>
          <w:rFonts w:ascii="Arial" w:hAnsi="Arial" w:cs="Arial"/>
          <w:sz w:val="22"/>
          <w:szCs w:val="22"/>
        </w:rPr>
      </w:pPr>
    </w:p>
    <w:p w:rsidR="00982EBC" w:rsidRDefault="00982EBC" w:rsidP="00982EBC">
      <w:pPr>
        <w:pStyle w:val="Szvegtrzs"/>
        <w:widowControl w:val="0"/>
        <w:spacing w:after="0" w:line="240" w:lineRule="auto"/>
        <w:jc w:val="both"/>
        <w:rPr>
          <w:rFonts w:ascii="Arial" w:hAnsi="Arial" w:cs="Arial"/>
          <w:sz w:val="22"/>
          <w:szCs w:val="22"/>
        </w:rPr>
      </w:pPr>
    </w:p>
    <w:p w:rsidR="00982EBC" w:rsidRDefault="00982EBC" w:rsidP="00982EBC">
      <w:pPr>
        <w:pStyle w:val="Szvegtrzs"/>
        <w:widowControl w:val="0"/>
        <w:spacing w:after="0" w:line="240" w:lineRule="auto"/>
        <w:jc w:val="both"/>
        <w:rPr>
          <w:rFonts w:ascii="Arial" w:hAnsi="Arial" w:cs="Arial"/>
          <w:sz w:val="22"/>
          <w:szCs w:val="22"/>
        </w:rPr>
      </w:pPr>
    </w:p>
    <w:p w:rsidR="00982EBC" w:rsidRDefault="00982EBC" w:rsidP="00982EBC">
      <w:pPr>
        <w:pStyle w:val="Szvegtrzs"/>
        <w:widowControl w:val="0"/>
        <w:spacing w:after="0" w:line="240" w:lineRule="auto"/>
        <w:jc w:val="both"/>
        <w:rPr>
          <w:rFonts w:ascii="Arial" w:hAnsi="Arial" w:cs="Arial"/>
          <w:sz w:val="22"/>
          <w:szCs w:val="22"/>
        </w:rPr>
      </w:pPr>
    </w:p>
    <w:p w:rsidR="00982EBC" w:rsidRPr="00873334" w:rsidRDefault="00982EBC" w:rsidP="00982EBC">
      <w:pPr>
        <w:jc w:val="both"/>
        <w:rPr>
          <w:rFonts w:ascii="Arial" w:hAnsi="Arial" w:cs="Arial"/>
          <w:sz w:val="22"/>
          <w:szCs w:val="22"/>
        </w:rPr>
      </w:pPr>
    </w:p>
    <w:p w:rsidR="00982EBC" w:rsidRPr="00873334" w:rsidRDefault="00982EBC" w:rsidP="00982EBC">
      <w:pPr>
        <w:tabs>
          <w:tab w:val="center" w:pos="2310"/>
          <w:tab w:val="center" w:pos="7150"/>
        </w:tabs>
        <w:jc w:val="both"/>
        <w:rPr>
          <w:rFonts w:ascii="Arial" w:hAnsi="Arial" w:cs="Arial"/>
          <w:sz w:val="22"/>
          <w:szCs w:val="22"/>
        </w:rPr>
      </w:pPr>
      <w:r w:rsidRPr="00873334">
        <w:rPr>
          <w:rFonts w:ascii="Arial" w:hAnsi="Arial" w:cs="Arial"/>
          <w:sz w:val="22"/>
          <w:szCs w:val="22"/>
        </w:rPr>
        <w:tab/>
        <w:t>Németh Balázs</w:t>
      </w:r>
      <w:r w:rsidRPr="00873334">
        <w:rPr>
          <w:rFonts w:ascii="Arial" w:hAnsi="Arial" w:cs="Arial"/>
          <w:sz w:val="22"/>
          <w:szCs w:val="22"/>
        </w:rPr>
        <w:tab/>
        <w:t>Patocskai Ibolya</w:t>
      </w:r>
    </w:p>
    <w:p w:rsidR="00982EBC" w:rsidRPr="00873334" w:rsidRDefault="00982EBC" w:rsidP="00982EBC">
      <w:pPr>
        <w:tabs>
          <w:tab w:val="center" w:pos="2310"/>
          <w:tab w:val="center" w:pos="7150"/>
        </w:tabs>
        <w:jc w:val="both"/>
        <w:rPr>
          <w:rFonts w:ascii="Arial" w:hAnsi="Arial" w:cs="Arial"/>
          <w:sz w:val="22"/>
          <w:szCs w:val="22"/>
        </w:rPr>
      </w:pPr>
      <w:r w:rsidRPr="00873334">
        <w:rPr>
          <w:rFonts w:ascii="Arial" w:hAnsi="Arial" w:cs="Arial"/>
          <w:sz w:val="22"/>
          <w:szCs w:val="22"/>
        </w:rPr>
        <w:tab/>
        <w:t xml:space="preserve">polgármester </w:t>
      </w:r>
      <w:r w:rsidRPr="00873334">
        <w:rPr>
          <w:rFonts w:ascii="Arial" w:hAnsi="Arial" w:cs="Arial"/>
          <w:sz w:val="22"/>
          <w:szCs w:val="22"/>
        </w:rPr>
        <w:tab/>
        <w:t xml:space="preserve">jegyző </w:t>
      </w:r>
    </w:p>
    <w:p w:rsidR="00982EBC" w:rsidRPr="00873334" w:rsidRDefault="00982EBC" w:rsidP="00982EBC">
      <w:pPr>
        <w:tabs>
          <w:tab w:val="center" w:pos="2310"/>
          <w:tab w:val="center" w:pos="7150"/>
        </w:tabs>
        <w:rPr>
          <w:rFonts w:ascii="Arial" w:hAnsi="Arial" w:cs="Arial"/>
          <w:sz w:val="22"/>
          <w:szCs w:val="22"/>
        </w:rPr>
      </w:pPr>
    </w:p>
    <w:p w:rsidR="00982EBC" w:rsidRDefault="00982EBC" w:rsidP="00982EBC">
      <w:pPr>
        <w:tabs>
          <w:tab w:val="center" w:pos="2310"/>
          <w:tab w:val="center" w:pos="7150"/>
        </w:tabs>
        <w:rPr>
          <w:rFonts w:ascii="Arial" w:hAnsi="Arial" w:cs="Arial"/>
          <w:sz w:val="22"/>
          <w:szCs w:val="22"/>
        </w:rPr>
      </w:pPr>
    </w:p>
    <w:p w:rsidR="00982EBC" w:rsidRDefault="00982EBC" w:rsidP="00982EBC">
      <w:pPr>
        <w:tabs>
          <w:tab w:val="center" w:pos="2310"/>
          <w:tab w:val="center" w:pos="7150"/>
        </w:tabs>
        <w:rPr>
          <w:rFonts w:ascii="Arial" w:hAnsi="Arial" w:cs="Arial"/>
          <w:sz w:val="22"/>
          <w:szCs w:val="22"/>
        </w:rPr>
      </w:pPr>
    </w:p>
    <w:p w:rsidR="00982EBC" w:rsidRDefault="00982EBC" w:rsidP="00982EBC">
      <w:pPr>
        <w:tabs>
          <w:tab w:val="center" w:pos="2310"/>
          <w:tab w:val="center" w:pos="7150"/>
        </w:tabs>
        <w:rPr>
          <w:rFonts w:ascii="Arial" w:hAnsi="Arial" w:cs="Arial"/>
          <w:sz w:val="22"/>
          <w:szCs w:val="22"/>
        </w:rPr>
      </w:pPr>
    </w:p>
    <w:p w:rsidR="00982EBC" w:rsidRDefault="00982EBC" w:rsidP="00982EBC">
      <w:pPr>
        <w:tabs>
          <w:tab w:val="center" w:pos="2310"/>
          <w:tab w:val="center" w:pos="7150"/>
        </w:tabs>
        <w:rPr>
          <w:rFonts w:ascii="Arial" w:hAnsi="Arial" w:cs="Arial"/>
          <w:sz w:val="22"/>
          <w:szCs w:val="22"/>
        </w:rPr>
      </w:pPr>
    </w:p>
    <w:p w:rsidR="00982EBC" w:rsidRPr="00873334" w:rsidRDefault="00982EBC" w:rsidP="00982EBC">
      <w:pPr>
        <w:tabs>
          <w:tab w:val="center" w:pos="2310"/>
          <w:tab w:val="center" w:pos="7150"/>
        </w:tabs>
        <w:rPr>
          <w:rFonts w:ascii="Arial" w:hAnsi="Arial" w:cs="Arial"/>
          <w:sz w:val="22"/>
          <w:szCs w:val="22"/>
        </w:rPr>
      </w:pPr>
      <w:r w:rsidRPr="00873334">
        <w:rPr>
          <w:rFonts w:ascii="Arial" w:hAnsi="Arial" w:cs="Arial"/>
          <w:sz w:val="22"/>
          <w:szCs w:val="22"/>
        </w:rPr>
        <w:t>Záradék:</w:t>
      </w:r>
    </w:p>
    <w:p w:rsidR="00982EBC" w:rsidRPr="00873334" w:rsidRDefault="00982EBC" w:rsidP="00982EBC">
      <w:pPr>
        <w:tabs>
          <w:tab w:val="center" w:pos="2310"/>
          <w:tab w:val="center" w:pos="7150"/>
        </w:tabs>
        <w:rPr>
          <w:rFonts w:ascii="Arial" w:hAnsi="Arial" w:cs="Arial"/>
          <w:sz w:val="22"/>
          <w:szCs w:val="22"/>
        </w:rPr>
      </w:pPr>
    </w:p>
    <w:p w:rsidR="00982EBC" w:rsidRPr="00873334" w:rsidRDefault="00982EBC" w:rsidP="00982EBC">
      <w:pPr>
        <w:tabs>
          <w:tab w:val="center" w:pos="2310"/>
          <w:tab w:val="center" w:pos="7150"/>
        </w:tabs>
        <w:jc w:val="both"/>
        <w:rPr>
          <w:rFonts w:ascii="Arial" w:hAnsi="Arial" w:cs="Arial"/>
          <w:sz w:val="22"/>
          <w:szCs w:val="22"/>
        </w:rPr>
      </w:pPr>
      <w:r w:rsidRPr="00873334">
        <w:rPr>
          <w:rFonts w:ascii="Arial" w:hAnsi="Arial" w:cs="Arial"/>
          <w:sz w:val="22"/>
          <w:szCs w:val="22"/>
        </w:rPr>
        <w:t>Megalkotta Bácsalmás Város Önkormányza</w:t>
      </w:r>
      <w:r>
        <w:rPr>
          <w:rFonts w:ascii="Arial" w:hAnsi="Arial" w:cs="Arial"/>
          <w:sz w:val="22"/>
          <w:szCs w:val="22"/>
        </w:rPr>
        <w:t>tának Képviselő-testülete a 2023. április 25-én</w:t>
      </w:r>
      <w:r w:rsidRPr="00873334">
        <w:rPr>
          <w:rFonts w:ascii="Arial" w:hAnsi="Arial" w:cs="Arial"/>
          <w:sz w:val="22"/>
          <w:szCs w:val="22"/>
        </w:rPr>
        <w:t xml:space="preserve"> tartott ülésén.</w:t>
      </w:r>
    </w:p>
    <w:p w:rsidR="00982EBC" w:rsidRPr="00873334" w:rsidRDefault="00982EBC" w:rsidP="00982EBC">
      <w:pPr>
        <w:tabs>
          <w:tab w:val="center" w:pos="2310"/>
          <w:tab w:val="center" w:pos="7150"/>
        </w:tabs>
        <w:jc w:val="both"/>
        <w:rPr>
          <w:rFonts w:ascii="Arial" w:hAnsi="Arial" w:cs="Arial"/>
          <w:sz w:val="22"/>
          <w:szCs w:val="22"/>
        </w:rPr>
      </w:pPr>
    </w:p>
    <w:p w:rsidR="00982EBC" w:rsidRPr="00873334" w:rsidRDefault="00982EBC" w:rsidP="00982EBC">
      <w:pPr>
        <w:tabs>
          <w:tab w:val="center" w:pos="2310"/>
          <w:tab w:val="center" w:pos="7150"/>
        </w:tabs>
        <w:jc w:val="both"/>
        <w:rPr>
          <w:rFonts w:ascii="Arial" w:hAnsi="Arial" w:cs="Arial"/>
          <w:sz w:val="22"/>
          <w:szCs w:val="22"/>
        </w:rPr>
      </w:pPr>
    </w:p>
    <w:p w:rsidR="00982EBC" w:rsidRPr="00873334" w:rsidRDefault="00982EBC" w:rsidP="00982EBC">
      <w:pPr>
        <w:tabs>
          <w:tab w:val="center" w:pos="2310"/>
          <w:tab w:val="center" w:pos="7150"/>
        </w:tabs>
        <w:jc w:val="both"/>
        <w:rPr>
          <w:rFonts w:ascii="Arial" w:hAnsi="Arial" w:cs="Arial"/>
          <w:sz w:val="22"/>
          <w:szCs w:val="22"/>
        </w:rPr>
      </w:pPr>
      <w:r w:rsidRPr="00873334">
        <w:rPr>
          <w:rFonts w:ascii="Arial" w:hAnsi="Arial" w:cs="Arial"/>
          <w:sz w:val="22"/>
          <w:szCs w:val="22"/>
        </w:rPr>
        <w:t xml:space="preserve">Kihirdetve: a Bácsalmási Közös Önkormányzati Hivatal tájékoztató tábláján, </w:t>
      </w:r>
    </w:p>
    <w:p w:rsidR="00982EBC" w:rsidRPr="00873334" w:rsidRDefault="00982EBC" w:rsidP="00982EBC">
      <w:pPr>
        <w:tabs>
          <w:tab w:val="center" w:pos="2310"/>
          <w:tab w:val="center" w:pos="7150"/>
        </w:tabs>
        <w:jc w:val="both"/>
        <w:rPr>
          <w:rFonts w:ascii="Arial" w:hAnsi="Arial" w:cs="Arial"/>
          <w:sz w:val="22"/>
          <w:szCs w:val="22"/>
        </w:rPr>
      </w:pPr>
      <w:r>
        <w:rPr>
          <w:rFonts w:ascii="Arial" w:hAnsi="Arial" w:cs="Arial"/>
          <w:sz w:val="22"/>
          <w:szCs w:val="22"/>
        </w:rPr>
        <w:t>2023. április 26-án.</w:t>
      </w:r>
    </w:p>
    <w:p w:rsidR="00982EBC" w:rsidRDefault="00982EBC" w:rsidP="00982EBC">
      <w:pPr>
        <w:tabs>
          <w:tab w:val="center" w:pos="2310"/>
          <w:tab w:val="center" w:pos="7150"/>
        </w:tabs>
        <w:jc w:val="both"/>
        <w:rPr>
          <w:rFonts w:ascii="Arial" w:hAnsi="Arial" w:cs="Arial"/>
          <w:sz w:val="22"/>
          <w:szCs w:val="22"/>
        </w:rPr>
      </w:pPr>
    </w:p>
    <w:p w:rsidR="00982EBC" w:rsidRDefault="00982EBC" w:rsidP="00982EBC">
      <w:pPr>
        <w:tabs>
          <w:tab w:val="center" w:pos="2310"/>
          <w:tab w:val="center" w:pos="7150"/>
        </w:tabs>
        <w:jc w:val="both"/>
        <w:rPr>
          <w:rFonts w:ascii="Arial" w:hAnsi="Arial" w:cs="Arial"/>
          <w:sz w:val="22"/>
          <w:szCs w:val="22"/>
        </w:rPr>
      </w:pPr>
    </w:p>
    <w:p w:rsidR="00982EBC" w:rsidRPr="00873334" w:rsidRDefault="00982EBC" w:rsidP="00982EBC">
      <w:pPr>
        <w:tabs>
          <w:tab w:val="center" w:pos="2310"/>
          <w:tab w:val="center" w:pos="7150"/>
        </w:tabs>
        <w:jc w:val="both"/>
        <w:rPr>
          <w:rFonts w:ascii="Arial" w:hAnsi="Arial" w:cs="Arial"/>
          <w:sz w:val="22"/>
          <w:szCs w:val="22"/>
        </w:rPr>
      </w:pPr>
    </w:p>
    <w:p w:rsidR="00982EBC" w:rsidRPr="002D3E9D" w:rsidRDefault="00982EBC" w:rsidP="00982EBC">
      <w:pPr>
        <w:tabs>
          <w:tab w:val="center" w:pos="2310"/>
          <w:tab w:val="center" w:pos="7150"/>
        </w:tabs>
        <w:jc w:val="both"/>
        <w:rPr>
          <w:rFonts w:ascii="Arial" w:hAnsi="Arial" w:cs="Arial"/>
          <w:sz w:val="22"/>
          <w:szCs w:val="22"/>
        </w:rPr>
      </w:pPr>
    </w:p>
    <w:p w:rsidR="00982EBC" w:rsidRPr="002D3E9D" w:rsidRDefault="00982EBC" w:rsidP="00982EBC">
      <w:pPr>
        <w:tabs>
          <w:tab w:val="center" w:pos="2310"/>
          <w:tab w:val="center" w:pos="7150"/>
        </w:tabs>
        <w:jc w:val="both"/>
        <w:rPr>
          <w:rFonts w:ascii="Arial" w:hAnsi="Arial" w:cs="Arial"/>
          <w:sz w:val="22"/>
          <w:szCs w:val="22"/>
        </w:rPr>
      </w:pPr>
      <w:r w:rsidRPr="002D3E9D">
        <w:rPr>
          <w:rFonts w:ascii="Arial" w:hAnsi="Arial" w:cs="Arial"/>
          <w:sz w:val="22"/>
          <w:szCs w:val="22"/>
        </w:rPr>
        <w:tab/>
      </w:r>
      <w:r w:rsidRPr="002D3E9D">
        <w:rPr>
          <w:rFonts w:ascii="Arial" w:hAnsi="Arial" w:cs="Arial"/>
          <w:sz w:val="22"/>
          <w:szCs w:val="22"/>
        </w:rPr>
        <w:tab/>
        <w:t>Patocskai Ibolya</w:t>
      </w:r>
    </w:p>
    <w:p w:rsidR="00982EBC" w:rsidRDefault="00982EBC" w:rsidP="00982EBC">
      <w:pPr>
        <w:tabs>
          <w:tab w:val="center" w:pos="2310"/>
          <w:tab w:val="center" w:pos="7150"/>
        </w:tabs>
        <w:jc w:val="both"/>
        <w:rPr>
          <w:rFonts w:ascii="Arial" w:hAnsi="Arial" w:cs="Arial"/>
          <w:sz w:val="22"/>
          <w:szCs w:val="22"/>
        </w:rPr>
      </w:pPr>
      <w:r w:rsidRPr="002D3E9D">
        <w:rPr>
          <w:rFonts w:ascii="Arial" w:hAnsi="Arial" w:cs="Arial"/>
          <w:sz w:val="22"/>
          <w:szCs w:val="22"/>
        </w:rPr>
        <w:tab/>
      </w:r>
      <w:r w:rsidRPr="002D3E9D">
        <w:rPr>
          <w:rFonts w:ascii="Arial" w:hAnsi="Arial" w:cs="Arial"/>
          <w:sz w:val="22"/>
          <w:szCs w:val="22"/>
        </w:rPr>
        <w:tab/>
        <w:t>jegyző</w:t>
      </w:r>
    </w:p>
    <w:p w:rsidR="00982EBC" w:rsidRDefault="00982EBC" w:rsidP="00982EBC">
      <w:pPr>
        <w:tabs>
          <w:tab w:val="center" w:pos="2310"/>
          <w:tab w:val="center" w:pos="7150"/>
        </w:tabs>
        <w:jc w:val="both"/>
        <w:rPr>
          <w:rFonts w:ascii="Arial" w:hAnsi="Arial" w:cs="Arial"/>
          <w:sz w:val="22"/>
          <w:szCs w:val="22"/>
        </w:rPr>
      </w:pPr>
    </w:p>
    <w:p w:rsidR="00982EBC" w:rsidRDefault="00982EBC" w:rsidP="00982EBC">
      <w:pPr>
        <w:tabs>
          <w:tab w:val="center" w:pos="2310"/>
          <w:tab w:val="center" w:pos="7150"/>
        </w:tabs>
        <w:jc w:val="both"/>
        <w:rPr>
          <w:rFonts w:ascii="Arial" w:hAnsi="Arial" w:cs="Arial"/>
          <w:sz w:val="22"/>
          <w:szCs w:val="22"/>
        </w:rPr>
      </w:pPr>
    </w:p>
    <w:p w:rsidR="00982EBC" w:rsidRDefault="00982EBC" w:rsidP="00982EBC">
      <w:pPr>
        <w:pStyle w:val="Szvegtrzs"/>
        <w:widowControl w:val="0"/>
        <w:spacing w:after="0" w:line="240" w:lineRule="auto"/>
        <w:jc w:val="both"/>
        <w:rPr>
          <w:rFonts w:ascii="Arial" w:hAnsi="Arial" w:cs="Arial"/>
          <w:sz w:val="22"/>
          <w:szCs w:val="22"/>
        </w:rPr>
        <w:sectPr w:rsidR="00982EBC" w:rsidSect="00CD6667">
          <w:headerReference w:type="default" r:id="rId7"/>
          <w:footerReference w:type="default" r:id="rId8"/>
          <w:pgSz w:w="11906" w:h="16838" w:code="9"/>
          <w:pgMar w:top="1134" w:right="1134" w:bottom="851" w:left="1418" w:header="510" w:footer="454" w:gutter="0"/>
          <w:cols w:space="708"/>
          <w:formProt w:val="0"/>
          <w:docGrid w:linePitch="600" w:charSpace="32768"/>
        </w:sectPr>
      </w:pPr>
    </w:p>
    <w:p w:rsidR="00982EBC" w:rsidRPr="002341F2" w:rsidRDefault="00982EBC" w:rsidP="00982EBC">
      <w:pPr>
        <w:pageBreakBefore/>
        <w:widowControl w:val="0"/>
        <w:overflowPunct w:val="0"/>
        <w:autoSpaceDE w:val="0"/>
        <w:spacing w:line="240" w:lineRule="atLeast"/>
        <w:ind w:left="3000"/>
        <w:jc w:val="both"/>
        <w:rPr>
          <w:rFonts w:ascii="Arial" w:hAnsi="Arial" w:cs="Arial"/>
          <w:sz w:val="20"/>
          <w:szCs w:val="20"/>
        </w:rPr>
      </w:pPr>
      <w:r w:rsidRPr="002341F2">
        <w:rPr>
          <w:rFonts w:ascii="Arial" w:eastAsia="Times New Roman" w:hAnsi="Arial" w:cs="Arial"/>
          <w:i/>
          <w:iCs/>
          <w:kern w:val="3"/>
          <w:sz w:val="20"/>
          <w:szCs w:val="20"/>
          <w:u w:val="single"/>
          <w:lang w:eastAsia="hu-HU"/>
        </w:rPr>
        <w:lastRenderedPageBreak/>
        <w:t xml:space="preserve">1. melléklet a </w:t>
      </w:r>
      <w:r>
        <w:rPr>
          <w:rFonts w:ascii="Arial" w:eastAsia="Times New Roman" w:hAnsi="Arial" w:cs="Arial"/>
          <w:i/>
          <w:iCs/>
          <w:kern w:val="3"/>
          <w:sz w:val="20"/>
          <w:szCs w:val="20"/>
          <w:u w:val="single"/>
          <w:lang w:eastAsia="hu-HU"/>
        </w:rPr>
        <w:t>6</w:t>
      </w:r>
      <w:r w:rsidRPr="002341F2">
        <w:rPr>
          <w:rFonts w:ascii="Arial" w:eastAsia="Times New Roman" w:hAnsi="Arial" w:cs="Arial"/>
          <w:i/>
          <w:iCs/>
          <w:kern w:val="3"/>
          <w:sz w:val="20"/>
          <w:szCs w:val="20"/>
          <w:u w:val="single"/>
          <w:lang w:eastAsia="hu-HU"/>
        </w:rPr>
        <w:t>/2023. (IV. 26.) önkormányzati rendelethez</w:t>
      </w:r>
    </w:p>
    <w:p w:rsidR="00982EBC" w:rsidRPr="00CD6667" w:rsidRDefault="00982EBC" w:rsidP="00982EBC">
      <w:pPr>
        <w:rPr>
          <w:rFonts w:ascii="Arial" w:hAnsi="Arial" w:cs="Arial"/>
          <w:sz w:val="16"/>
          <w:szCs w:val="16"/>
        </w:rPr>
      </w:pPr>
    </w:p>
    <w:p w:rsidR="00982EBC" w:rsidRPr="002341F2" w:rsidRDefault="00982EBC" w:rsidP="00982EBC">
      <w:pPr>
        <w:jc w:val="center"/>
        <w:rPr>
          <w:rFonts w:ascii="Arial" w:hAnsi="Arial" w:cs="Arial"/>
          <w:sz w:val="20"/>
          <w:szCs w:val="20"/>
        </w:rPr>
      </w:pPr>
      <w:r w:rsidRPr="002341F2">
        <w:rPr>
          <w:rFonts w:ascii="Arial" w:hAnsi="Arial" w:cs="Arial"/>
          <w:sz w:val="20"/>
          <w:szCs w:val="20"/>
        </w:rPr>
        <w:t>Díjmértékek</w:t>
      </w:r>
    </w:p>
    <w:p w:rsidR="00982EBC" w:rsidRDefault="00982EBC" w:rsidP="00982EBC">
      <w:pPr>
        <w:jc w:val="center"/>
        <w:rPr>
          <w:rFonts w:ascii="Arial" w:hAnsi="Arial" w:cs="Arial"/>
          <w:b/>
          <w:bCs/>
          <w:sz w:val="20"/>
          <w:szCs w:val="20"/>
        </w:rPr>
      </w:pPr>
      <w:r w:rsidRPr="00423781">
        <w:rPr>
          <w:rFonts w:ascii="Arial" w:hAnsi="Arial" w:cs="Arial"/>
          <w:b/>
          <w:bCs/>
          <w:sz w:val="20"/>
          <w:szCs w:val="20"/>
        </w:rPr>
        <w:t>1.</w:t>
      </w:r>
      <w:r>
        <w:rPr>
          <w:rFonts w:ascii="Arial" w:hAnsi="Arial" w:cs="Arial"/>
          <w:b/>
          <w:bCs/>
          <w:sz w:val="20"/>
          <w:szCs w:val="20"/>
        </w:rPr>
        <w:t xml:space="preserve"> </w:t>
      </w:r>
      <w:r w:rsidRPr="00423781">
        <w:rPr>
          <w:rFonts w:ascii="Arial" w:hAnsi="Arial" w:cs="Arial"/>
          <w:b/>
          <w:bCs/>
          <w:sz w:val="20"/>
          <w:szCs w:val="20"/>
        </w:rPr>
        <w:t xml:space="preserve">Temetési hely és </w:t>
      </w:r>
      <w:proofErr w:type="spellStart"/>
      <w:r w:rsidRPr="00423781">
        <w:rPr>
          <w:rFonts w:ascii="Arial" w:hAnsi="Arial" w:cs="Arial"/>
          <w:b/>
          <w:bCs/>
          <w:sz w:val="20"/>
          <w:szCs w:val="20"/>
        </w:rPr>
        <w:t>újraváltási</w:t>
      </w:r>
      <w:proofErr w:type="spellEnd"/>
      <w:r w:rsidRPr="00423781">
        <w:rPr>
          <w:rFonts w:ascii="Arial" w:hAnsi="Arial" w:cs="Arial"/>
          <w:b/>
          <w:bCs/>
          <w:sz w:val="20"/>
          <w:szCs w:val="20"/>
        </w:rPr>
        <w:t xml:space="preserve"> díjak</w:t>
      </w:r>
    </w:p>
    <w:p w:rsidR="009445B0" w:rsidRPr="00423781" w:rsidRDefault="009445B0" w:rsidP="00982EBC">
      <w:pPr>
        <w:jc w:val="center"/>
        <w:rPr>
          <w:rFonts w:ascii="Arial" w:hAnsi="Arial" w:cs="Arial"/>
          <w:b/>
          <w:bCs/>
          <w:sz w:val="20"/>
          <w:szCs w:val="20"/>
        </w:rPr>
      </w:pPr>
    </w:p>
    <w:p w:rsidR="00982EBC" w:rsidRPr="00C6052E" w:rsidRDefault="00982EBC" w:rsidP="00982EBC">
      <w:pPr>
        <w:numPr>
          <w:ilvl w:val="1"/>
          <w:numId w:val="1"/>
        </w:numPr>
        <w:autoSpaceDN w:val="0"/>
        <w:textAlignment w:val="baseline"/>
        <w:rPr>
          <w:rFonts w:ascii="Arial" w:hAnsi="Arial" w:cs="Arial"/>
          <w:sz w:val="18"/>
          <w:szCs w:val="18"/>
        </w:rPr>
      </w:pPr>
      <w:r w:rsidRPr="00C6052E">
        <w:rPr>
          <w:rFonts w:ascii="Arial" w:hAnsi="Arial" w:cs="Arial"/>
          <w:sz w:val="18"/>
          <w:szCs w:val="18"/>
        </w:rPr>
        <w:t xml:space="preserve">Sírbolthely (kripta) és </w:t>
      </w:r>
      <w:proofErr w:type="spellStart"/>
      <w:r w:rsidRPr="00C6052E">
        <w:rPr>
          <w:rFonts w:ascii="Arial" w:hAnsi="Arial" w:cs="Arial"/>
          <w:sz w:val="18"/>
          <w:szCs w:val="18"/>
        </w:rPr>
        <w:t>újraváltási</w:t>
      </w:r>
      <w:proofErr w:type="spellEnd"/>
      <w:r w:rsidRPr="00C6052E">
        <w:rPr>
          <w:rFonts w:ascii="Arial" w:hAnsi="Arial" w:cs="Arial"/>
          <w:sz w:val="18"/>
          <w:szCs w:val="18"/>
        </w:rPr>
        <w:t xml:space="preserve"> díja (40 évre)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43"/>
        <w:gridCol w:w="1987"/>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bookmarkStart w:id="0" w:name="_Hlk132179020"/>
            <w:bookmarkStart w:id="1" w:name="_Hlk132179545"/>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43"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1987"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bookmarkStart w:id="2" w:name="_Hlk132179096"/>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Bruttó (Ft)</w:t>
            </w:r>
          </w:p>
        </w:tc>
      </w:tr>
      <w:bookmarkEnd w:id="0"/>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2 személyes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30000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38100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3</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4 személyes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40000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50800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4</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6 személyes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60000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76200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5</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8 személyes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80000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101600</w:t>
            </w:r>
          </w:p>
        </w:tc>
      </w:tr>
      <w:bookmarkEnd w:id="1"/>
      <w:bookmarkEnd w:id="2"/>
    </w:tbl>
    <w:p w:rsidR="00982EBC" w:rsidRPr="00C6052E" w:rsidRDefault="00982EBC" w:rsidP="00982EBC">
      <w:pPr>
        <w:jc w:val="both"/>
        <w:rPr>
          <w:rFonts w:ascii="Arial" w:hAnsi="Arial" w:cs="Arial"/>
          <w:b/>
          <w:bCs/>
          <w:sz w:val="18"/>
          <w:szCs w:val="18"/>
        </w:rPr>
      </w:pPr>
    </w:p>
    <w:p w:rsidR="00982EBC" w:rsidRPr="00C6052E" w:rsidRDefault="00982EBC" w:rsidP="00982EBC">
      <w:pPr>
        <w:numPr>
          <w:ilvl w:val="1"/>
          <w:numId w:val="1"/>
        </w:numPr>
        <w:autoSpaceDN w:val="0"/>
        <w:jc w:val="both"/>
        <w:textAlignment w:val="baseline"/>
        <w:rPr>
          <w:rFonts w:ascii="Arial" w:hAnsi="Arial" w:cs="Arial"/>
          <w:sz w:val="18"/>
          <w:szCs w:val="18"/>
        </w:rPr>
      </w:pPr>
      <w:r w:rsidRPr="00C6052E">
        <w:rPr>
          <w:rFonts w:ascii="Arial" w:hAnsi="Arial" w:cs="Arial"/>
          <w:sz w:val="18"/>
          <w:szCs w:val="18"/>
        </w:rPr>
        <w:t xml:space="preserve">Sírhelyek és </w:t>
      </w:r>
      <w:proofErr w:type="spellStart"/>
      <w:r w:rsidRPr="00C6052E">
        <w:rPr>
          <w:rFonts w:ascii="Arial" w:hAnsi="Arial" w:cs="Arial"/>
          <w:sz w:val="18"/>
          <w:szCs w:val="18"/>
        </w:rPr>
        <w:t>újraváltási</w:t>
      </w:r>
      <w:proofErr w:type="spellEnd"/>
      <w:r w:rsidRPr="00C6052E">
        <w:rPr>
          <w:rFonts w:ascii="Arial" w:hAnsi="Arial" w:cs="Arial"/>
          <w:sz w:val="18"/>
          <w:szCs w:val="18"/>
        </w:rPr>
        <w:t xml:space="preserve"> díjak (25 évre)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91"/>
        <w:gridCol w:w="1843"/>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p>
        </w:tc>
        <w:tc>
          <w:tcPr>
            <w:tcW w:w="4791"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43"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791"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(Ft/férőhely)</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Bruttó (Ft/férőhely)</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791"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I. osztályú sírhely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15000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19050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3</w:t>
            </w:r>
          </w:p>
        </w:tc>
        <w:tc>
          <w:tcPr>
            <w:tcW w:w="4791" w:type="dxa"/>
            <w:shd w:val="clear" w:color="auto" w:fill="auto"/>
          </w:tcPr>
          <w:p w:rsidR="00982EBC" w:rsidRPr="00C6052E" w:rsidRDefault="00982EBC" w:rsidP="00982EBC">
            <w:pPr>
              <w:numPr>
                <w:ilvl w:val="0"/>
                <w:numId w:val="1"/>
              </w:numPr>
              <w:autoSpaceDN w:val="0"/>
              <w:ind w:left="177"/>
              <w:jc w:val="both"/>
              <w:textAlignment w:val="baseline"/>
              <w:rPr>
                <w:rFonts w:ascii="Arial" w:hAnsi="Arial" w:cs="Arial"/>
                <w:sz w:val="18"/>
                <w:szCs w:val="18"/>
              </w:rPr>
            </w:pPr>
            <w:r w:rsidRPr="00C6052E">
              <w:rPr>
                <w:rFonts w:ascii="Arial" w:hAnsi="Arial" w:cs="Arial"/>
                <w:sz w:val="18"/>
                <w:szCs w:val="18"/>
              </w:rPr>
              <w:t xml:space="preserve">II. osztályú sírhely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10000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12700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4</w:t>
            </w:r>
          </w:p>
        </w:tc>
        <w:tc>
          <w:tcPr>
            <w:tcW w:w="4791" w:type="dxa"/>
            <w:shd w:val="clear" w:color="auto" w:fill="auto"/>
          </w:tcPr>
          <w:p w:rsidR="00982EBC" w:rsidRPr="00C6052E" w:rsidRDefault="00982EBC" w:rsidP="00982EBC">
            <w:pPr>
              <w:numPr>
                <w:ilvl w:val="0"/>
                <w:numId w:val="1"/>
              </w:numPr>
              <w:autoSpaceDN w:val="0"/>
              <w:ind w:left="177"/>
              <w:jc w:val="both"/>
              <w:textAlignment w:val="baseline"/>
              <w:rPr>
                <w:rFonts w:ascii="Arial" w:hAnsi="Arial" w:cs="Arial"/>
                <w:sz w:val="18"/>
                <w:szCs w:val="18"/>
              </w:rPr>
            </w:pPr>
            <w:r w:rsidRPr="00C6052E">
              <w:rPr>
                <w:rFonts w:ascii="Arial" w:hAnsi="Arial" w:cs="Arial"/>
                <w:sz w:val="18"/>
                <w:szCs w:val="18"/>
              </w:rPr>
              <w:t xml:space="preserve">III. osztályú sírhely </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díjmentes</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díjmentes</w:t>
            </w:r>
          </w:p>
        </w:tc>
      </w:tr>
    </w:tbl>
    <w:p w:rsidR="00982EBC" w:rsidRPr="00C6052E" w:rsidRDefault="00982EBC" w:rsidP="00982EBC">
      <w:pPr>
        <w:jc w:val="both"/>
        <w:rPr>
          <w:rFonts w:ascii="Arial" w:hAnsi="Arial" w:cs="Arial"/>
          <w:b/>
          <w:bCs/>
          <w:sz w:val="18"/>
          <w:szCs w:val="18"/>
        </w:rPr>
      </w:pPr>
    </w:p>
    <w:p w:rsidR="00982EBC" w:rsidRPr="00C6052E" w:rsidRDefault="00982EBC" w:rsidP="00982EBC">
      <w:pPr>
        <w:jc w:val="both"/>
        <w:rPr>
          <w:rFonts w:ascii="Arial" w:hAnsi="Arial" w:cs="Arial"/>
          <w:sz w:val="18"/>
          <w:szCs w:val="18"/>
        </w:rPr>
      </w:pPr>
      <w:r w:rsidRPr="00C6052E">
        <w:rPr>
          <w:rFonts w:ascii="Arial" w:hAnsi="Arial" w:cs="Arial"/>
          <w:sz w:val="18"/>
          <w:szCs w:val="18"/>
        </w:rPr>
        <w:t>1.3. Urnafülke megváltási díja (20 évre)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14"/>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14"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vAlign w:val="center"/>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(Ft/urnafülke)</w:t>
            </w:r>
          </w:p>
        </w:tc>
        <w:tc>
          <w:tcPr>
            <w:tcW w:w="2016"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Bruttó (Ft/urnafülke)</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 férőhelyes urnafülke (</w:t>
            </w:r>
            <w:proofErr w:type="spellStart"/>
            <w:r w:rsidRPr="00C6052E">
              <w:rPr>
                <w:rFonts w:ascii="Arial" w:hAnsi="Arial" w:cs="Arial"/>
                <w:sz w:val="18"/>
                <w:szCs w:val="18"/>
              </w:rPr>
              <w:t>fedlappal</w:t>
            </w:r>
            <w:proofErr w:type="spellEnd"/>
            <w:r w:rsidRPr="00C6052E">
              <w:rPr>
                <w:rFonts w:ascii="Arial" w:hAnsi="Arial" w:cs="Arial"/>
                <w:sz w:val="18"/>
                <w:szCs w:val="18"/>
              </w:rPr>
              <w:t xml:space="preserve"> együtt)</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95000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120650</w:t>
            </w:r>
          </w:p>
        </w:tc>
      </w:tr>
    </w:tbl>
    <w:p w:rsidR="00982EBC" w:rsidRPr="00C6052E" w:rsidRDefault="00982EBC" w:rsidP="00982EBC">
      <w:pPr>
        <w:jc w:val="both"/>
        <w:rPr>
          <w:rFonts w:ascii="Arial" w:hAnsi="Arial" w:cs="Arial"/>
          <w:b/>
          <w:bCs/>
          <w:sz w:val="18"/>
          <w:szCs w:val="18"/>
        </w:rPr>
      </w:pPr>
    </w:p>
    <w:p w:rsidR="00982EBC" w:rsidRPr="00C6052E" w:rsidRDefault="00982EBC" w:rsidP="00982EBC">
      <w:pPr>
        <w:jc w:val="both"/>
        <w:rPr>
          <w:rFonts w:ascii="Arial" w:hAnsi="Arial" w:cs="Arial"/>
          <w:sz w:val="18"/>
          <w:szCs w:val="18"/>
        </w:rPr>
      </w:pPr>
      <w:r w:rsidRPr="00C6052E">
        <w:rPr>
          <w:rFonts w:ascii="Arial" w:hAnsi="Arial" w:cs="Arial"/>
          <w:sz w:val="18"/>
          <w:szCs w:val="18"/>
        </w:rPr>
        <w:t xml:space="preserve">1.4. Urnafülke </w:t>
      </w:r>
      <w:proofErr w:type="spellStart"/>
      <w:r w:rsidRPr="00C6052E">
        <w:rPr>
          <w:rFonts w:ascii="Arial" w:hAnsi="Arial" w:cs="Arial"/>
          <w:sz w:val="18"/>
          <w:szCs w:val="18"/>
        </w:rPr>
        <w:t>újraváltási</w:t>
      </w:r>
      <w:proofErr w:type="spellEnd"/>
      <w:r w:rsidRPr="00C6052E">
        <w:rPr>
          <w:rFonts w:ascii="Arial" w:hAnsi="Arial" w:cs="Arial"/>
          <w:sz w:val="18"/>
          <w:szCs w:val="18"/>
        </w:rPr>
        <w:t xml:space="preserve"> díja (20 évre)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14"/>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bookmarkStart w:id="3" w:name="_Hlk132188745"/>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14"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vAlign w:val="center"/>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(Ft/urnafülke)</w:t>
            </w:r>
          </w:p>
        </w:tc>
        <w:tc>
          <w:tcPr>
            <w:tcW w:w="2016"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Bruttó (Ft/urnafülke)</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Urnafülke </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25000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31750</w:t>
            </w:r>
          </w:p>
        </w:tc>
      </w:tr>
      <w:bookmarkEnd w:id="3"/>
    </w:tbl>
    <w:p w:rsidR="00982EBC" w:rsidRPr="00C6052E" w:rsidRDefault="00982EBC" w:rsidP="00982EBC">
      <w:pPr>
        <w:jc w:val="both"/>
        <w:rPr>
          <w:rFonts w:ascii="Arial" w:hAnsi="Arial" w:cs="Arial"/>
          <w:b/>
          <w:bCs/>
          <w:sz w:val="18"/>
          <w:szCs w:val="18"/>
        </w:rPr>
      </w:pPr>
    </w:p>
    <w:p w:rsidR="00982EBC" w:rsidRPr="00C6052E" w:rsidRDefault="00982EBC" w:rsidP="00982EBC">
      <w:pPr>
        <w:jc w:val="both"/>
        <w:rPr>
          <w:rFonts w:ascii="Arial" w:hAnsi="Arial" w:cs="Arial"/>
          <w:sz w:val="18"/>
          <w:szCs w:val="18"/>
        </w:rPr>
      </w:pPr>
      <w:r w:rsidRPr="00C6052E">
        <w:rPr>
          <w:rFonts w:ascii="Arial" w:hAnsi="Arial" w:cs="Arial"/>
          <w:sz w:val="18"/>
          <w:szCs w:val="18"/>
        </w:rPr>
        <w:t>1.5. Családi urnafülke megváltási díja (20 évre)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14"/>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bookmarkStart w:id="4" w:name="_Hlk132188950"/>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14"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vAlign w:val="center"/>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(Ft/urnafülke)</w:t>
            </w:r>
          </w:p>
        </w:tc>
        <w:tc>
          <w:tcPr>
            <w:tcW w:w="2016"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Bruttó (Ft/urnafülke)</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6 férőhelyes urnafülke (</w:t>
            </w:r>
            <w:proofErr w:type="spellStart"/>
            <w:r w:rsidRPr="00C6052E">
              <w:rPr>
                <w:rFonts w:ascii="Arial" w:hAnsi="Arial" w:cs="Arial"/>
                <w:sz w:val="18"/>
                <w:szCs w:val="18"/>
              </w:rPr>
              <w:t>fedlappal</w:t>
            </w:r>
            <w:proofErr w:type="spellEnd"/>
            <w:r w:rsidRPr="00C6052E">
              <w:rPr>
                <w:rFonts w:ascii="Arial" w:hAnsi="Arial" w:cs="Arial"/>
                <w:sz w:val="18"/>
                <w:szCs w:val="18"/>
              </w:rPr>
              <w:t xml:space="preserve"> együtt)</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120000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152400</w:t>
            </w:r>
          </w:p>
        </w:tc>
      </w:tr>
      <w:bookmarkEnd w:id="4"/>
    </w:tbl>
    <w:p w:rsidR="00982EBC" w:rsidRPr="00C6052E" w:rsidRDefault="00982EBC" w:rsidP="00982EBC">
      <w:pPr>
        <w:rPr>
          <w:rFonts w:ascii="Arial" w:hAnsi="Arial" w:cs="Arial"/>
          <w:b/>
          <w:bCs/>
          <w:sz w:val="18"/>
          <w:szCs w:val="18"/>
        </w:rPr>
      </w:pPr>
    </w:p>
    <w:p w:rsidR="00982EBC" w:rsidRPr="00C6052E" w:rsidRDefault="00982EBC" w:rsidP="00982EBC">
      <w:pPr>
        <w:jc w:val="both"/>
        <w:rPr>
          <w:rFonts w:ascii="Arial" w:hAnsi="Arial" w:cs="Arial"/>
          <w:sz w:val="18"/>
          <w:szCs w:val="18"/>
        </w:rPr>
      </w:pPr>
      <w:r w:rsidRPr="00C6052E">
        <w:rPr>
          <w:rFonts w:ascii="Arial" w:hAnsi="Arial" w:cs="Arial"/>
          <w:sz w:val="18"/>
          <w:szCs w:val="18"/>
        </w:rPr>
        <w:t xml:space="preserve">1.6. Családi urnafülke </w:t>
      </w:r>
      <w:proofErr w:type="spellStart"/>
      <w:r w:rsidRPr="00C6052E">
        <w:rPr>
          <w:rFonts w:ascii="Arial" w:hAnsi="Arial" w:cs="Arial"/>
          <w:sz w:val="18"/>
          <w:szCs w:val="18"/>
        </w:rPr>
        <w:t>újraváltási</w:t>
      </w:r>
      <w:proofErr w:type="spellEnd"/>
      <w:r w:rsidRPr="00C6052E">
        <w:rPr>
          <w:rFonts w:ascii="Arial" w:hAnsi="Arial" w:cs="Arial"/>
          <w:sz w:val="18"/>
          <w:szCs w:val="18"/>
        </w:rPr>
        <w:t xml:space="preserve"> díja (20 évre)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14"/>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14"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vAlign w:val="center"/>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(Ft/urnafülke)</w:t>
            </w:r>
          </w:p>
        </w:tc>
        <w:tc>
          <w:tcPr>
            <w:tcW w:w="2016"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Bruttó (Ft/urnafülke)</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Urnafülke </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40000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50800</w:t>
            </w:r>
          </w:p>
        </w:tc>
      </w:tr>
    </w:tbl>
    <w:p w:rsidR="00982EBC" w:rsidRPr="00C6052E" w:rsidRDefault="00982EBC" w:rsidP="00982EBC">
      <w:pPr>
        <w:rPr>
          <w:rFonts w:ascii="Arial" w:hAnsi="Arial" w:cs="Arial"/>
          <w:b/>
          <w:bCs/>
          <w:sz w:val="18"/>
          <w:szCs w:val="18"/>
        </w:rPr>
      </w:pPr>
    </w:p>
    <w:p w:rsidR="00982EBC" w:rsidRPr="00C6052E" w:rsidRDefault="00982EBC" w:rsidP="00982EBC">
      <w:pPr>
        <w:widowControl w:val="0"/>
        <w:tabs>
          <w:tab w:val="right" w:pos="5385"/>
        </w:tabs>
        <w:overflowPunct w:val="0"/>
        <w:autoSpaceDE w:val="0"/>
        <w:jc w:val="both"/>
        <w:rPr>
          <w:rFonts w:ascii="Arial" w:eastAsia="Times New Roman" w:hAnsi="Arial" w:cs="Arial"/>
          <w:kern w:val="3"/>
          <w:sz w:val="18"/>
          <w:szCs w:val="18"/>
          <w:u w:val="single"/>
          <w:lang w:eastAsia="hu-HU"/>
        </w:rPr>
      </w:pPr>
      <w:r w:rsidRPr="00C6052E">
        <w:rPr>
          <w:rFonts w:ascii="Arial" w:eastAsia="Times New Roman" w:hAnsi="Arial" w:cs="Arial"/>
          <w:kern w:val="3"/>
          <w:sz w:val="18"/>
          <w:szCs w:val="18"/>
          <w:u w:val="single"/>
          <w:lang w:eastAsia="hu-HU"/>
        </w:rPr>
        <w:t>1.7. Egyéb díjak</w:t>
      </w:r>
    </w:p>
    <w:p w:rsidR="00982EBC" w:rsidRPr="00C6052E" w:rsidRDefault="00982EBC" w:rsidP="00982EBC">
      <w:pPr>
        <w:widowControl w:val="0"/>
        <w:tabs>
          <w:tab w:val="right" w:pos="5385"/>
        </w:tabs>
        <w:overflowPunct w:val="0"/>
        <w:autoSpaceDE w:val="0"/>
        <w:jc w:val="both"/>
        <w:rPr>
          <w:rFonts w:ascii="Arial" w:eastAsia="Times New Roman" w:hAnsi="Arial" w:cs="Arial"/>
          <w:kern w:val="3"/>
          <w:sz w:val="18"/>
          <w:szCs w:val="18"/>
          <w:lang w:eastAsia="hu-HU"/>
        </w:rPr>
      </w:pPr>
      <w:r w:rsidRPr="00C6052E">
        <w:rPr>
          <w:rFonts w:ascii="Arial" w:eastAsia="Times New Roman" w:hAnsi="Arial" w:cs="Arial"/>
          <w:kern w:val="3"/>
          <w:sz w:val="18"/>
          <w:szCs w:val="18"/>
          <w:lang w:eastAsia="hu-HU"/>
        </w:rPr>
        <w:t>A megállapított sírhelydíjon felül 50 % pótdíjat köteles fizetni az, aki</w:t>
      </w:r>
    </w:p>
    <w:p w:rsidR="00982EBC" w:rsidRPr="00C6052E" w:rsidRDefault="00982EBC" w:rsidP="00982EBC">
      <w:pPr>
        <w:widowControl w:val="0"/>
        <w:tabs>
          <w:tab w:val="right" w:pos="5385"/>
        </w:tabs>
        <w:overflowPunct w:val="0"/>
        <w:autoSpaceDE w:val="0"/>
        <w:jc w:val="both"/>
        <w:rPr>
          <w:rFonts w:ascii="Arial" w:eastAsia="Times New Roman" w:hAnsi="Arial" w:cs="Arial"/>
          <w:kern w:val="3"/>
          <w:sz w:val="18"/>
          <w:szCs w:val="18"/>
          <w:lang w:eastAsia="hu-HU"/>
        </w:rPr>
      </w:pPr>
      <w:r w:rsidRPr="00C6052E">
        <w:rPr>
          <w:rFonts w:ascii="Arial" w:eastAsia="Times New Roman" w:hAnsi="Arial" w:cs="Arial"/>
          <w:kern w:val="3"/>
          <w:sz w:val="18"/>
          <w:szCs w:val="18"/>
          <w:lang w:eastAsia="hu-HU"/>
        </w:rPr>
        <w:t>a) mélyített felnőtt sírhelybe tisztiorvosi engedély alapján még egy koporsót kíván temetni,</w:t>
      </w:r>
    </w:p>
    <w:p w:rsidR="00982EBC" w:rsidRPr="00C6052E" w:rsidRDefault="00982EBC" w:rsidP="00982EBC">
      <w:pPr>
        <w:widowControl w:val="0"/>
        <w:tabs>
          <w:tab w:val="right" w:pos="5385"/>
        </w:tabs>
        <w:overflowPunct w:val="0"/>
        <w:autoSpaceDE w:val="0"/>
        <w:jc w:val="both"/>
        <w:rPr>
          <w:rFonts w:ascii="Arial" w:eastAsia="Times New Roman" w:hAnsi="Arial" w:cs="Arial"/>
          <w:kern w:val="3"/>
          <w:sz w:val="18"/>
          <w:szCs w:val="18"/>
          <w:lang w:eastAsia="hu-HU"/>
        </w:rPr>
      </w:pPr>
      <w:r w:rsidRPr="00C6052E">
        <w:rPr>
          <w:rFonts w:ascii="Arial" w:eastAsia="Times New Roman" w:hAnsi="Arial" w:cs="Arial"/>
          <w:kern w:val="3"/>
          <w:sz w:val="18"/>
          <w:szCs w:val="18"/>
          <w:lang w:eastAsia="hu-HU"/>
        </w:rPr>
        <w:t>b) mélyített felnőtt sírhelybe tisztiorvosi engedély alapján urnát kíván elhelyezni.</w:t>
      </w:r>
    </w:p>
    <w:p w:rsidR="00982EBC" w:rsidRPr="00C6052E" w:rsidRDefault="00982EBC" w:rsidP="00982EBC">
      <w:pPr>
        <w:rPr>
          <w:rFonts w:ascii="Arial" w:hAnsi="Arial" w:cs="Arial"/>
          <w:b/>
          <w:bCs/>
          <w:sz w:val="18"/>
          <w:szCs w:val="18"/>
        </w:rPr>
      </w:pPr>
    </w:p>
    <w:p w:rsidR="00982EBC" w:rsidRPr="00C6052E" w:rsidRDefault="00982EBC" w:rsidP="00982EBC">
      <w:pPr>
        <w:jc w:val="center"/>
        <w:rPr>
          <w:rFonts w:ascii="Arial" w:hAnsi="Arial" w:cs="Arial"/>
          <w:b/>
          <w:bCs/>
          <w:sz w:val="18"/>
          <w:szCs w:val="18"/>
        </w:rPr>
      </w:pPr>
      <w:r w:rsidRPr="00C6052E">
        <w:rPr>
          <w:rFonts w:ascii="Arial" w:hAnsi="Arial" w:cs="Arial"/>
          <w:b/>
          <w:bCs/>
          <w:sz w:val="18"/>
          <w:szCs w:val="18"/>
        </w:rPr>
        <w:t>2. Temetőfenntartási hozzájárulás díja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14"/>
        <w:gridCol w:w="2016"/>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14"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2016"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(Ft/alkalom)</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Bruttó (Ft/alkalom)</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 xml:space="preserve">Temetőfenntartási hozzájárulás </w:t>
            </w:r>
          </w:p>
        </w:tc>
        <w:tc>
          <w:tcPr>
            <w:tcW w:w="1814"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2000</w:t>
            </w:r>
          </w:p>
        </w:tc>
        <w:tc>
          <w:tcPr>
            <w:tcW w:w="2016"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2540</w:t>
            </w:r>
          </w:p>
        </w:tc>
      </w:tr>
    </w:tbl>
    <w:p w:rsidR="00982EBC" w:rsidRPr="00C6052E" w:rsidRDefault="00982EBC" w:rsidP="00982EBC">
      <w:pPr>
        <w:jc w:val="both"/>
        <w:rPr>
          <w:rFonts w:ascii="Arial" w:hAnsi="Arial" w:cs="Arial"/>
          <w:b/>
          <w:bCs/>
          <w:sz w:val="18"/>
          <w:szCs w:val="18"/>
        </w:rPr>
      </w:pPr>
    </w:p>
    <w:p w:rsidR="00982EBC" w:rsidRPr="00C6052E" w:rsidRDefault="00982EBC" w:rsidP="00982EBC">
      <w:pPr>
        <w:jc w:val="center"/>
        <w:rPr>
          <w:rFonts w:ascii="Arial" w:hAnsi="Arial" w:cs="Arial"/>
          <w:b/>
          <w:bCs/>
          <w:sz w:val="18"/>
          <w:szCs w:val="18"/>
        </w:rPr>
      </w:pPr>
      <w:r w:rsidRPr="00C6052E">
        <w:rPr>
          <w:rFonts w:ascii="Arial" w:hAnsi="Arial" w:cs="Arial"/>
          <w:b/>
          <w:bCs/>
          <w:sz w:val="18"/>
          <w:szCs w:val="18"/>
        </w:rPr>
        <w:t>3.Temetkezési szolgáltatók által fizetendő díjak</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843"/>
        <w:gridCol w:w="1987"/>
      </w:tblGrid>
      <w:tr w:rsidR="00982EBC" w:rsidRPr="00C6052E" w:rsidTr="00894873">
        <w:tc>
          <w:tcPr>
            <w:tcW w:w="562" w:type="dxa"/>
            <w:shd w:val="clear" w:color="auto" w:fill="auto"/>
          </w:tcPr>
          <w:p w:rsidR="00982EBC" w:rsidRPr="00C6052E" w:rsidRDefault="00982EBC" w:rsidP="00894873">
            <w:pPr>
              <w:rPr>
                <w:rFonts w:ascii="Arial" w:hAnsi="Arial" w:cs="Arial"/>
                <w:sz w:val="18"/>
                <w:szCs w:val="18"/>
              </w:rPr>
            </w:pPr>
          </w:p>
        </w:tc>
        <w:tc>
          <w:tcPr>
            <w:tcW w:w="4820"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A</w:t>
            </w:r>
          </w:p>
        </w:tc>
        <w:tc>
          <w:tcPr>
            <w:tcW w:w="1843"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B</w:t>
            </w:r>
          </w:p>
        </w:tc>
        <w:tc>
          <w:tcPr>
            <w:tcW w:w="1987" w:type="dxa"/>
            <w:shd w:val="clear" w:color="auto" w:fill="auto"/>
          </w:tcPr>
          <w:p w:rsidR="00982EBC" w:rsidRPr="00C6052E" w:rsidRDefault="00982EBC" w:rsidP="00894873">
            <w:pPr>
              <w:jc w:val="center"/>
              <w:rPr>
                <w:rFonts w:ascii="Arial" w:hAnsi="Arial" w:cs="Arial"/>
                <w:sz w:val="18"/>
                <w:szCs w:val="18"/>
              </w:rPr>
            </w:pPr>
            <w:r w:rsidRPr="00C6052E">
              <w:rPr>
                <w:rFonts w:ascii="Arial" w:hAnsi="Arial" w:cs="Arial"/>
                <w:sz w:val="18"/>
                <w:szCs w:val="18"/>
              </w:rPr>
              <w:t>C</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1</w:t>
            </w:r>
          </w:p>
        </w:tc>
        <w:tc>
          <w:tcPr>
            <w:tcW w:w="4820"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Megnevezés</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Nettó (Ft)</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Bruttó (Ft)</w:t>
            </w:r>
          </w:p>
        </w:tc>
      </w:tr>
      <w:tr w:rsidR="00982EBC" w:rsidRPr="00C6052E" w:rsidTr="00894873">
        <w:tc>
          <w:tcPr>
            <w:tcW w:w="562" w:type="dxa"/>
            <w:shd w:val="clear" w:color="auto" w:fill="auto"/>
            <w:vAlign w:val="center"/>
          </w:tcPr>
          <w:p w:rsidR="00982EBC" w:rsidRPr="00C6052E" w:rsidRDefault="00982EBC" w:rsidP="00894873">
            <w:pPr>
              <w:jc w:val="both"/>
              <w:rPr>
                <w:rFonts w:ascii="Arial" w:hAnsi="Arial" w:cs="Arial"/>
                <w:sz w:val="18"/>
                <w:szCs w:val="18"/>
              </w:rPr>
            </w:pPr>
            <w:r w:rsidRPr="00C6052E">
              <w:rPr>
                <w:rFonts w:ascii="Arial" w:hAnsi="Arial" w:cs="Arial"/>
                <w:sz w:val="18"/>
                <w:szCs w:val="18"/>
              </w:rPr>
              <w:t>2</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eastAsia="Times New Roman" w:hAnsi="Arial" w:cs="Arial"/>
                <w:kern w:val="3"/>
                <w:sz w:val="18"/>
                <w:szCs w:val="18"/>
                <w:lang w:eastAsia="hu-HU"/>
              </w:rPr>
              <w:t>A temetői létesítmények igénybevételéért fizetendő díj, vagyis temető és kellékhasználat</w:t>
            </w:r>
          </w:p>
        </w:tc>
        <w:tc>
          <w:tcPr>
            <w:tcW w:w="1843"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29000 Ft/eset</w:t>
            </w:r>
          </w:p>
        </w:tc>
        <w:tc>
          <w:tcPr>
            <w:tcW w:w="1987"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36830 Ft/eset</w:t>
            </w:r>
          </w:p>
        </w:tc>
      </w:tr>
      <w:tr w:rsidR="00982EBC" w:rsidRPr="00C6052E" w:rsidTr="00B542BC">
        <w:trPr>
          <w:trHeight w:val="316"/>
        </w:trPr>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3</w:t>
            </w:r>
          </w:p>
        </w:tc>
        <w:tc>
          <w:tcPr>
            <w:tcW w:w="4820" w:type="dxa"/>
            <w:shd w:val="clear" w:color="auto" w:fill="auto"/>
          </w:tcPr>
          <w:p w:rsidR="00982EBC" w:rsidRPr="00C6052E" w:rsidRDefault="00982EBC" w:rsidP="00894873">
            <w:pPr>
              <w:jc w:val="both"/>
              <w:rPr>
                <w:rFonts w:ascii="Arial" w:hAnsi="Arial" w:cs="Arial"/>
                <w:sz w:val="18"/>
                <w:szCs w:val="18"/>
              </w:rPr>
            </w:pPr>
            <w:r w:rsidRPr="00C6052E">
              <w:rPr>
                <w:rFonts w:ascii="Arial" w:eastAsia="Times New Roman" w:hAnsi="Arial" w:cs="Arial"/>
                <w:kern w:val="3"/>
                <w:sz w:val="18"/>
                <w:szCs w:val="18"/>
                <w:lang w:eastAsia="hu-HU"/>
              </w:rPr>
              <w:t>Az üzemeltető által biztosított szolgáltatás igénybevételéért fizetendő díjak:</w:t>
            </w:r>
          </w:p>
        </w:tc>
        <w:tc>
          <w:tcPr>
            <w:tcW w:w="1843" w:type="dxa"/>
            <w:shd w:val="clear" w:color="auto" w:fill="auto"/>
            <w:vAlign w:val="center"/>
          </w:tcPr>
          <w:p w:rsidR="00982EBC" w:rsidRPr="00C6052E" w:rsidRDefault="00982EBC" w:rsidP="00894873">
            <w:pPr>
              <w:rPr>
                <w:rFonts w:ascii="Arial" w:hAnsi="Arial" w:cs="Arial"/>
                <w:sz w:val="18"/>
                <w:szCs w:val="18"/>
              </w:rPr>
            </w:pPr>
          </w:p>
        </w:tc>
        <w:tc>
          <w:tcPr>
            <w:tcW w:w="1987" w:type="dxa"/>
            <w:shd w:val="clear" w:color="auto" w:fill="auto"/>
            <w:vAlign w:val="center"/>
          </w:tcPr>
          <w:p w:rsidR="00982EBC" w:rsidRPr="00C6052E" w:rsidRDefault="00982EBC" w:rsidP="00894873">
            <w:pPr>
              <w:rPr>
                <w:rFonts w:ascii="Arial" w:hAnsi="Arial" w:cs="Arial"/>
                <w:sz w:val="18"/>
                <w:szCs w:val="18"/>
              </w:rPr>
            </w:pP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4</w:t>
            </w:r>
          </w:p>
        </w:tc>
        <w:tc>
          <w:tcPr>
            <w:tcW w:w="4820" w:type="dxa"/>
            <w:shd w:val="clear" w:color="auto" w:fill="auto"/>
          </w:tcPr>
          <w:p w:rsidR="00982EBC" w:rsidRPr="00C6052E" w:rsidRDefault="00982EBC" w:rsidP="00894873">
            <w:pPr>
              <w:ind w:left="177"/>
              <w:jc w:val="both"/>
              <w:rPr>
                <w:rFonts w:ascii="Arial" w:hAnsi="Arial" w:cs="Arial"/>
                <w:kern w:val="3"/>
                <w:sz w:val="18"/>
                <w:szCs w:val="18"/>
              </w:rPr>
            </w:pPr>
            <w:r w:rsidRPr="00C6052E">
              <w:rPr>
                <w:rFonts w:ascii="Arial" w:hAnsi="Arial" w:cs="Arial"/>
                <w:kern w:val="3"/>
                <w:sz w:val="18"/>
                <w:szCs w:val="18"/>
              </w:rPr>
              <w:t xml:space="preserve">      Alapszolgáltatás (sírkitűzés, felügyelet,</w:t>
            </w:r>
          </w:p>
          <w:p w:rsidR="00982EBC" w:rsidRPr="00C6052E" w:rsidRDefault="00982EBC" w:rsidP="00894873">
            <w:pPr>
              <w:ind w:left="177"/>
              <w:jc w:val="both"/>
              <w:rPr>
                <w:rFonts w:ascii="Arial" w:hAnsi="Arial" w:cs="Arial"/>
                <w:sz w:val="18"/>
                <w:szCs w:val="18"/>
              </w:rPr>
            </w:pPr>
            <w:r w:rsidRPr="00C6052E">
              <w:rPr>
                <w:rFonts w:ascii="Arial" w:hAnsi="Arial" w:cs="Arial"/>
                <w:kern w:val="3"/>
                <w:sz w:val="18"/>
                <w:szCs w:val="18"/>
              </w:rPr>
              <w:t xml:space="preserve">      nyilvántartás stb.)</w:t>
            </w:r>
          </w:p>
        </w:tc>
        <w:tc>
          <w:tcPr>
            <w:tcW w:w="1843"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8000</w:t>
            </w:r>
          </w:p>
        </w:tc>
        <w:tc>
          <w:tcPr>
            <w:tcW w:w="1987" w:type="dxa"/>
            <w:shd w:val="clear" w:color="auto" w:fill="auto"/>
            <w:vAlign w:val="center"/>
          </w:tcPr>
          <w:p w:rsidR="00982EBC" w:rsidRPr="00C6052E" w:rsidRDefault="00982EBC" w:rsidP="00894873">
            <w:pPr>
              <w:rPr>
                <w:rFonts w:ascii="Arial" w:hAnsi="Arial" w:cs="Arial"/>
                <w:sz w:val="18"/>
                <w:szCs w:val="18"/>
              </w:rPr>
            </w:pPr>
            <w:r w:rsidRPr="00C6052E">
              <w:rPr>
                <w:rFonts w:ascii="Arial" w:hAnsi="Arial" w:cs="Arial"/>
                <w:sz w:val="18"/>
                <w:szCs w:val="18"/>
              </w:rPr>
              <w:t>10160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5</w:t>
            </w:r>
          </w:p>
        </w:tc>
        <w:tc>
          <w:tcPr>
            <w:tcW w:w="4820" w:type="dxa"/>
            <w:shd w:val="clear" w:color="auto" w:fill="auto"/>
          </w:tcPr>
          <w:p w:rsidR="00982EBC" w:rsidRPr="00C6052E" w:rsidRDefault="00982EBC" w:rsidP="00894873">
            <w:pPr>
              <w:ind w:left="177"/>
              <w:jc w:val="both"/>
              <w:rPr>
                <w:rFonts w:ascii="Arial" w:hAnsi="Arial" w:cs="Arial"/>
                <w:sz w:val="18"/>
                <w:szCs w:val="18"/>
              </w:rPr>
            </w:pPr>
            <w:r w:rsidRPr="00C6052E">
              <w:rPr>
                <w:rFonts w:ascii="Arial" w:hAnsi="Arial" w:cs="Arial"/>
                <w:kern w:val="3"/>
                <w:sz w:val="18"/>
                <w:szCs w:val="18"/>
              </w:rPr>
              <w:t xml:space="preserve">     Hűtőhasználat</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2000 Ft/nap</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2540 Ft/nap</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6</w:t>
            </w:r>
          </w:p>
        </w:tc>
        <w:tc>
          <w:tcPr>
            <w:tcW w:w="4820" w:type="dxa"/>
            <w:shd w:val="clear" w:color="auto" w:fill="auto"/>
          </w:tcPr>
          <w:p w:rsidR="00982EBC" w:rsidRPr="00C6052E" w:rsidRDefault="00982EBC" w:rsidP="00894873">
            <w:pPr>
              <w:ind w:left="177"/>
              <w:jc w:val="both"/>
              <w:rPr>
                <w:rFonts w:ascii="Arial" w:hAnsi="Arial" w:cs="Arial"/>
                <w:sz w:val="18"/>
                <w:szCs w:val="18"/>
              </w:rPr>
            </w:pPr>
            <w:r w:rsidRPr="00C6052E">
              <w:rPr>
                <w:rFonts w:ascii="Arial" w:hAnsi="Arial" w:cs="Arial"/>
                <w:kern w:val="3"/>
                <w:sz w:val="18"/>
                <w:szCs w:val="18"/>
              </w:rPr>
              <w:t xml:space="preserve">     Szabványméretű sírgödör kiásása</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24000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30480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7</w:t>
            </w:r>
          </w:p>
        </w:tc>
        <w:tc>
          <w:tcPr>
            <w:tcW w:w="4820" w:type="dxa"/>
            <w:shd w:val="clear" w:color="auto" w:fill="auto"/>
          </w:tcPr>
          <w:p w:rsidR="00982EBC" w:rsidRPr="00C6052E" w:rsidRDefault="00982EBC" w:rsidP="00894873">
            <w:pPr>
              <w:ind w:left="177"/>
              <w:jc w:val="both"/>
              <w:rPr>
                <w:rFonts w:ascii="Arial" w:hAnsi="Arial" w:cs="Arial"/>
                <w:sz w:val="18"/>
                <w:szCs w:val="18"/>
              </w:rPr>
            </w:pPr>
            <w:r w:rsidRPr="00C6052E">
              <w:rPr>
                <w:rFonts w:ascii="Arial" w:hAnsi="Arial" w:cs="Arial"/>
                <w:kern w:val="3"/>
                <w:sz w:val="18"/>
                <w:szCs w:val="18"/>
              </w:rPr>
              <w:t xml:space="preserve">     Urnahely nyitása (sírhely esetén)</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16000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20320</w:t>
            </w:r>
          </w:p>
        </w:tc>
      </w:tr>
      <w:tr w:rsidR="00982EBC" w:rsidRPr="00C6052E" w:rsidTr="00894873">
        <w:tc>
          <w:tcPr>
            <w:tcW w:w="562" w:type="dxa"/>
            <w:shd w:val="clear" w:color="auto" w:fill="auto"/>
          </w:tcPr>
          <w:p w:rsidR="00982EBC" w:rsidRPr="00C6052E" w:rsidRDefault="00982EBC" w:rsidP="00894873">
            <w:pPr>
              <w:jc w:val="both"/>
              <w:rPr>
                <w:rFonts w:ascii="Arial" w:hAnsi="Arial" w:cs="Arial"/>
                <w:sz w:val="18"/>
                <w:szCs w:val="18"/>
              </w:rPr>
            </w:pPr>
            <w:r w:rsidRPr="00C6052E">
              <w:rPr>
                <w:rFonts w:ascii="Arial" w:hAnsi="Arial" w:cs="Arial"/>
                <w:sz w:val="18"/>
                <w:szCs w:val="18"/>
              </w:rPr>
              <w:t>8</w:t>
            </w:r>
          </w:p>
        </w:tc>
        <w:tc>
          <w:tcPr>
            <w:tcW w:w="4820" w:type="dxa"/>
            <w:shd w:val="clear" w:color="auto" w:fill="auto"/>
          </w:tcPr>
          <w:p w:rsidR="00982EBC" w:rsidRPr="00C6052E" w:rsidRDefault="00982EBC" w:rsidP="00894873">
            <w:pPr>
              <w:ind w:left="177"/>
              <w:jc w:val="both"/>
              <w:rPr>
                <w:rFonts w:ascii="Arial" w:hAnsi="Arial" w:cs="Arial"/>
                <w:sz w:val="18"/>
                <w:szCs w:val="18"/>
              </w:rPr>
            </w:pPr>
            <w:r w:rsidRPr="00C6052E">
              <w:rPr>
                <w:rFonts w:ascii="Arial" w:hAnsi="Arial" w:cs="Arial"/>
                <w:kern w:val="3"/>
                <w:sz w:val="18"/>
                <w:szCs w:val="18"/>
              </w:rPr>
              <w:t xml:space="preserve">     Kriptanyitás</w:t>
            </w:r>
          </w:p>
        </w:tc>
        <w:tc>
          <w:tcPr>
            <w:tcW w:w="1843"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20000</w:t>
            </w:r>
          </w:p>
        </w:tc>
        <w:tc>
          <w:tcPr>
            <w:tcW w:w="1987" w:type="dxa"/>
            <w:shd w:val="clear" w:color="auto" w:fill="auto"/>
          </w:tcPr>
          <w:p w:rsidR="00982EBC" w:rsidRPr="00C6052E" w:rsidRDefault="00982EBC" w:rsidP="00894873">
            <w:pPr>
              <w:rPr>
                <w:rFonts w:ascii="Arial" w:hAnsi="Arial" w:cs="Arial"/>
                <w:sz w:val="18"/>
                <w:szCs w:val="18"/>
              </w:rPr>
            </w:pPr>
            <w:r w:rsidRPr="00C6052E">
              <w:rPr>
                <w:rFonts w:ascii="Arial" w:hAnsi="Arial" w:cs="Arial"/>
                <w:sz w:val="18"/>
                <w:szCs w:val="18"/>
              </w:rPr>
              <w:t>25400</w:t>
            </w:r>
          </w:p>
        </w:tc>
      </w:tr>
    </w:tbl>
    <w:p w:rsidR="00982EBC" w:rsidRPr="002341F2" w:rsidRDefault="00982EBC" w:rsidP="00982EBC">
      <w:pPr>
        <w:suppressAutoHyphens w:val="0"/>
        <w:rPr>
          <w:rFonts w:ascii="Arial" w:hAnsi="Arial" w:cs="Arial"/>
          <w:sz w:val="20"/>
          <w:szCs w:val="20"/>
        </w:rPr>
      </w:pPr>
      <w:r w:rsidRPr="002341F2">
        <w:rPr>
          <w:rFonts w:ascii="Arial" w:hAnsi="Arial" w:cs="Arial"/>
          <w:sz w:val="20"/>
          <w:szCs w:val="20"/>
        </w:rPr>
        <w:br w:type="page"/>
      </w:r>
    </w:p>
    <w:p w:rsidR="00982EBC" w:rsidRPr="00CD6667" w:rsidRDefault="00982EBC" w:rsidP="00982EBC">
      <w:pPr>
        <w:jc w:val="both"/>
        <w:rPr>
          <w:rFonts w:ascii="Arial" w:hAnsi="Arial" w:cs="Arial"/>
          <w:sz w:val="22"/>
          <w:szCs w:val="22"/>
        </w:rPr>
      </w:pPr>
    </w:p>
    <w:p w:rsidR="00982EBC" w:rsidRPr="00CD6667" w:rsidRDefault="00982EBC" w:rsidP="00982EBC">
      <w:pPr>
        <w:jc w:val="center"/>
        <w:rPr>
          <w:rFonts w:ascii="Arial" w:hAnsi="Arial" w:cs="Arial"/>
          <w:i/>
          <w:iCs/>
          <w:sz w:val="22"/>
          <w:szCs w:val="22"/>
          <w:u w:val="single"/>
        </w:rPr>
      </w:pPr>
    </w:p>
    <w:p w:rsidR="00982EBC" w:rsidRPr="00CD6667" w:rsidRDefault="00982EBC" w:rsidP="00982EBC">
      <w:pPr>
        <w:jc w:val="center"/>
        <w:rPr>
          <w:rFonts w:ascii="Arial" w:hAnsi="Arial" w:cs="Arial"/>
          <w:i/>
          <w:iCs/>
          <w:sz w:val="22"/>
          <w:szCs w:val="22"/>
          <w:u w:val="single"/>
        </w:rPr>
      </w:pPr>
    </w:p>
    <w:p w:rsidR="00982EBC" w:rsidRPr="00CD6667" w:rsidRDefault="00982EBC" w:rsidP="00982EBC">
      <w:pPr>
        <w:jc w:val="center"/>
        <w:rPr>
          <w:rFonts w:ascii="Arial" w:hAnsi="Arial" w:cs="Arial"/>
          <w:i/>
          <w:iCs/>
          <w:sz w:val="22"/>
          <w:szCs w:val="22"/>
          <w:u w:val="single"/>
        </w:rPr>
      </w:pPr>
    </w:p>
    <w:p w:rsidR="00982EBC" w:rsidRPr="00CD6667" w:rsidRDefault="00982EBC" w:rsidP="00982EBC">
      <w:pPr>
        <w:jc w:val="center"/>
        <w:rPr>
          <w:rFonts w:ascii="Arial" w:hAnsi="Arial" w:cs="Arial"/>
          <w:i/>
          <w:iCs/>
          <w:sz w:val="22"/>
          <w:szCs w:val="22"/>
          <w:u w:val="single"/>
        </w:rPr>
      </w:pPr>
      <w:r w:rsidRPr="00CD6667">
        <w:rPr>
          <w:rFonts w:ascii="Arial" w:hAnsi="Arial" w:cs="Arial"/>
          <w:i/>
          <w:iCs/>
          <w:sz w:val="22"/>
          <w:szCs w:val="22"/>
          <w:u w:val="single"/>
        </w:rPr>
        <w:t>2. melléklet a 6/2023. (IV. 26.) önkormányzati rendelethez</w:t>
      </w:r>
    </w:p>
    <w:p w:rsidR="00982EBC" w:rsidRDefault="00982EBC" w:rsidP="00982EBC">
      <w:pPr>
        <w:rPr>
          <w:rFonts w:ascii="Arial" w:hAnsi="Arial" w:cs="Arial"/>
          <w:sz w:val="22"/>
          <w:szCs w:val="22"/>
        </w:rPr>
      </w:pPr>
    </w:p>
    <w:p w:rsidR="00982EBC" w:rsidRDefault="00982EBC" w:rsidP="00982EBC">
      <w:pPr>
        <w:rPr>
          <w:rFonts w:ascii="Arial" w:hAnsi="Arial" w:cs="Arial"/>
          <w:sz w:val="22"/>
          <w:szCs w:val="22"/>
        </w:rPr>
      </w:pPr>
    </w:p>
    <w:p w:rsidR="00982EBC" w:rsidRPr="00CD6667" w:rsidRDefault="00982EBC" w:rsidP="00982EBC">
      <w:pPr>
        <w:rPr>
          <w:rFonts w:ascii="Arial" w:hAnsi="Arial" w:cs="Arial"/>
          <w:sz w:val="22"/>
          <w:szCs w:val="22"/>
        </w:rPr>
      </w:pPr>
    </w:p>
    <w:p w:rsidR="00982EBC" w:rsidRPr="00CD6667" w:rsidRDefault="00982EBC" w:rsidP="00982EBC">
      <w:pPr>
        <w:jc w:val="center"/>
        <w:rPr>
          <w:rFonts w:ascii="Arial" w:hAnsi="Arial" w:cs="Arial"/>
          <w:sz w:val="22"/>
          <w:szCs w:val="22"/>
        </w:rPr>
      </w:pPr>
      <w:r w:rsidRPr="00CD6667">
        <w:rPr>
          <w:rFonts w:ascii="Arial" w:hAnsi="Arial" w:cs="Arial"/>
          <w:sz w:val="22"/>
          <w:szCs w:val="22"/>
        </w:rPr>
        <w:t>1. A temetőben lévő sírhelyek méretei</w:t>
      </w:r>
    </w:p>
    <w:p w:rsidR="00982EBC" w:rsidRPr="00CD6667" w:rsidRDefault="00982EBC" w:rsidP="00982EB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09"/>
        <w:gridCol w:w="2336"/>
        <w:gridCol w:w="2337"/>
      </w:tblGrid>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p>
        </w:tc>
        <w:tc>
          <w:tcPr>
            <w:tcW w:w="4110"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A</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B</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C</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1</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Megnevezés</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Hossza (cm)</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Szélessége (cm)</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2</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Egyes felnőtt sírhely</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220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120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3</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Mélyített egyes felnőtt sírhely</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220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120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4</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Kettős felnőtt sírhely</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220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190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5</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Mélyített kettős felnőtt sírhely</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220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190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6</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Gyermek sírhely</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130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60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7</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Urna földbe temetésénél</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80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60</w:t>
            </w:r>
          </w:p>
        </w:tc>
      </w:tr>
    </w:tbl>
    <w:p w:rsidR="00982EBC" w:rsidRPr="00CD6667" w:rsidRDefault="00982EBC" w:rsidP="00982EBC">
      <w:pPr>
        <w:rPr>
          <w:rFonts w:ascii="Arial" w:hAnsi="Arial" w:cs="Arial"/>
          <w:sz w:val="22"/>
          <w:szCs w:val="22"/>
        </w:rPr>
      </w:pPr>
    </w:p>
    <w:p w:rsidR="00982EBC" w:rsidRPr="00CD6667" w:rsidRDefault="00982EBC" w:rsidP="00982EBC">
      <w:pPr>
        <w:jc w:val="center"/>
        <w:rPr>
          <w:rFonts w:ascii="Arial" w:hAnsi="Arial" w:cs="Arial"/>
          <w:sz w:val="22"/>
          <w:szCs w:val="22"/>
        </w:rPr>
      </w:pPr>
      <w:r w:rsidRPr="00CD6667">
        <w:rPr>
          <w:rFonts w:ascii="Arial" w:hAnsi="Arial" w:cs="Arial"/>
          <w:sz w:val="22"/>
          <w:szCs w:val="22"/>
        </w:rPr>
        <w:t>2. A temetőben lévő sírboltok méretei</w:t>
      </w:r>
    </w:p>
    <w:p w:rsidR="00982EBC" w:rsidRPr="00CD6667" w:rsidRDefault="00982EBC" w:rsidP="00982EB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0"/>
        <w:gridCol w:w="2336"/>
        <w:gridCol w:w="2337"/>
      </w:tblGrid>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p>
        </w:tc>
        <w:tc>
          <w:tcPr>
            <w:tcW w:w="4110"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A</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B</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C</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1</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Megnevezés</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Hossza (cm)</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Szélessége (cm)</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2</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Kettő személyes sírbolt</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270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150</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3</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Négyszemélyes sírbolt</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300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275</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4</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Hatszemélyes sírbolt</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300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275</w:t>
            </w:r>
          </w:p>
        </w:tc>
      </w:tr>
      <w:tr w:rsidR="00982EBC" w:rsidRPr="00CD6667" w:rsidTr="00894873">
        <w:tc>
          <w:tcPr>
            <w:tcW w:w="562"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5</w:t>
            </w:r>
          </w:p>
        </w:tc>
        <w:tc>
          <w:tcPr>
            <w:tcW w:w="4110" w:type="dxa"/>
            <w:shd w:val="clear" w:color="auto" w:fill="auto"/>
          </w:tcPr>
          <w:p w:rsidR="00982EBC" w:rsidRPr="00CD6667" w:rsidRDefault="00982EBC" w:rsidP="00894873">
            <w:pPr>
              <w:rPr>
                <w:rFonts w:ascii="Arial" w:hAnsi="Arial" w:cs="Arial"/>
                <w:sz w:val="22"/>
                <w:szCs w:val="22"/>
              </w:rPr>
            </w:pPr>
            <w:r w:rsidRPr="00CD6667">
              <w:rPr>
                <w:rFonts w:ascii="Arial" w:hAnsi="Arial" w:cs="Arial"/>
                <w:sz w:val="22"/>
                <w:szCs w:val="22"/>
              </w:rPr>
              <w:t>Nyolcszemélyes sírbolt</w:t>
            </w:r>
          </w:p>
        </w:tc>
        <w:tc>
          <w:tcPr>
            <w:tcW w:w="2336"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360</w:t>
            </w:r>
          </w:p>
        </w:tc>
        <w:tc>
          <w:tcPr>
            <w:tcW w:w="2337" w:type="dxa"/>
            <w:shd w:val="clear" w:color="auto" w:fill="auto"/>
          </w:tcPr>
          <w:p w:rsidR="00982EBC" w:rsidRPr="00CD6667" w:rsidRDefault="00982EBC" w:rsidP="00894873">
            <w:pPr>
              <w:jc w:val="center"/>
              <w:rPr>
                <w:rFonts w:ascii="Arial" w:hAnsi="Arial" w:cs="Arial"/>
                <w:sz w:val="22"/>
                <w:szCs w:val="22"/>
              </w:rPr>
            </w:pPr>
            <w:r w:rsidRPr="00CD6667">
              <w:rPr>
                <w:rFonts w:ascii="Arial" w:hAnsi="Arial" w:cs="Arial"/>
                <w:sz w:val="22"/>
                <w:szCs w:val="22"/>
              </w:rPr>
              <w:t>280</w:t>
            </w:r>
          </w:p>
        </w:tc>
      </w:tr>
    </w:tbl>
    <w:p w:rsidR="00982EBC" w:rsidRDefault="00982EBC" w:rsidP="00982EBC">
      <w:pPr>
        <w:rPr>
          <w:rFonts w:ascii="Arial" w:hAnsi="Arial" w:cs="Arial"/>
          <w:sz w:val="22"/>
          <w:szCs w:val="22"/>
        </w:rPr>
      </w:pPr>
    </w:p>
    <w:p w:rsidR="00DD1EFC" w:rsidRPr="00CD6667" w:rsidRDefault="00DD1EFC" w:rsidP="00982EBC">
      <w:pPr>
        <w:rPr>
          <w:rFonts w:ascii="Arial" w:hAnsi="Arial" w:cs="Arial"/>
          <w:sz w:val="22"/>
          <w:szCs w:val="22"/>
        </w:rPr>
      </w:pPr>
    </w:p>
    <w:sectPr w:rsidR="00DD1EFC" w:rsidRPr="00CD6667" w:rsidSect="00B542BC">
      <w:pgSz w:w="11906" w:h="16838" w:code="9"/>
      <w:pgMar w:top="510" w:right="1134" w:bottom="284"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F15" w:rsidRDefault="00B542BC">
      <w:r>
        <w:separator/>
      </w:r>
    </w:p>
  </w:endnote>
  <w:endnote w:type="continuationSeparator" w:id="0">
    <w:p w:rsidR="00562F15" w:rsidRDefault="00B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623" w:rsidRDefault="00982EBC">
    <w:pPr>
      <w:pStyle w:val="llb"/>
      <w:jc w:val="center"/>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F15" w:rsidRDefault="00B542BC">
      <w:r>
        <w:separator/>
      </w:r>
    </w:p>
  </w:footnote>
  <w:footnote w:type="continuationSeparator" w:id="0">
    <w:p w:rsidR="00562F15" w:rsidRDefault="00B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9FB" w:rsidRPr="00895E89" w:rsidRDefault="00CE49FB" w:rsidP="00CE49FB">
    <w:pPr>
      <w:ind w:right="-106"/>
      <w:jc w:val="both"/>
      <w:rPr>
        <w:sz w:val="20"/>
        <w:szCs w:val="20"/>
      </w:rPr>
    </w:pPr>
    <w:r w:rsidRPr="00895E89">
      <w:rPr>
        <w:sz w:val="20"/>
        <w:szCs w:val="20"/>
      </w:rPr>
      <w:t>EGYSÉGES SZERKEZET</w:t>
    </w:r>
  </w:p>
  <w:p w:rsidR="00CE49FB" w:rsidRPr="00895E89" w:rsidRDefault="00CE49FB" w:rsidP="00CE49FB">
    <w:pPr>
      <w:ind w:right="-271"/>
      <w:jc w:val="both"/>
      <w:rPr>
        <w:sz w:val="20"/>
        <w:szCs w:val="20"/>
      </w:rPr>
    </w:pPr>
    <w:r>
      <w:rPr>
        <w:sz w:val="20"/>
        <w:szCs w:val="20"/>
      </w:rPr>
      <w:t>Hatály: 202</w:t>
    </w:r>
    <w:r>
      <w:rPr>
        <w:sz w:val="20"/>
        <w:szCs w:val="20"/>
      </w:rPr>
      <w:t>3</w:t>
    </w:r>
    <w:r>
      <w:rPr>
        <w:sz w:val="20"/>
        <w:szCs w:val="20"/>
      </w:rPr>
      <w:t xml:space="preserve">. </w:t>
    </w:r>
    <w:r>
      <w:rPr>
        <w:sz w:val="20"/>
        <w:szCs w:val="20"/>
      </w:rPr>
      <w:t>április 27</w:t>
    </w:r>
    <w:r>
      <w:rPr>
        <w:sz w:val="20"/>
        <w:szCs w:val="20"/>
      </w:rPr>
      <w:t>.</w:t>
    </w:r>
    <w:r w:rsidRPr="00895E89">
      <w:rPr>
        <w:sz w:val="20"/>
        <w:szCs w:val="20"/>
      </w:rPr>
      <w:t xml:space="preserve"> −</w:t>
    </w:r>
  </w:p>
  <w:p w:rsidR="00CE49FB" w:rsidRDefault="00CE49FB" w:rsidP="00CE49FB">
    <w:pPr>
      <w:jc w:val="both"/>
      <w:rPr>
        <w:sz w:val="20"/>
        <w:szCs w:val="20"/>
      </w:rPr>
    </w:pPr>
    <w:r>
      <w:rPr>
        <w:sz w:val="20"/>
        <w:szCs w:val="20"/>
      </w:rPr>
      <w:t>6</w:t>
    </w:r>
    <w:r>
      <w:rPr>
        <w:sz w:val="20"/>
        <w:szCs w:val="20"/>
      </w:rPr>
      <w:t>/20</w:t>
    </w:r>
    <w:r>
      <w:rPr>
        <w:sz w:val="20"/>
        <w:szCs w:val="20"/>
      </w:rPr>
      <w:t>23</w:t>
    </w:r>
    <w:r>
      <w:rPr>
        <w:sz w:val="20"/>
        <w:szCs w:val="20"/>
      </w:rPr>
      <w:t>. (I</w:t>
    </w:r>
    <w:r>
      <w:rPr>
        <w:sz w:val="20"/>
        <w:szCs w:val="20"/>
      </w:rPr>
      <w:t>V</w:t>
    </w:r>
    <w:r>
      <w:rPr>
        <w:sz w:val="20"/>
        <w:szCs w:val="20"/>
      </w:rPr>
      <w:t xml:space="preserve">. </w:t>
    </w:r>
    <w:r>
      <w:rPr>
        <w:sz w:val="20"/>
        <w:szCs w:val="20"/>
      </w:rPr>
      <w:t>26</w:t>
    </w:r>
    <w:r>
      <w:rPr>
        <w:sz w:val="20"/>
        <w:szCs w:val="20"/>
      </w:rPr>
      <w:t xml:space="preserve">.) önkormányzati rendelet </w:t>
    </w:r>
  </w:p>
  <w:p w:rsidR="00CE49FB" w:rsidRPr="00895E89" w:rsidRDefault="00CE49FB" w:rsidP="00CE49FB">
    <w:pPr>
      <w:jc w:val="both"/>
      <w:rPr>
        <w:sz w:val="20"/>
        <w:szCs w:val="20"/>
      </w:rPr>
    </w:pPr>
    <w:r>
      <w:rPr>
        <w:sz w:val="20"/>
        <w:szCs w:val="20"/>
      </w:rPr>
      <w:t xml:space="preserve">a </w:t>
    </w:r>
    <w:r>
      <w:rPr>
        <w:sz w:val="20"/>
        <w:szCs w:val="20"/>
      </w:rPr>
      <w:t>köztemetőről és a temetkezés rendjéről</w:t>
    </w:r>
  </w:p>
  <w:p w:rsidR="00CE49FB" w:rsidRPr="00895E89" w:rsidRDefault="00CE49FB" w:rsidP="00CE49FB">
    <w:pPr>
      <w:pStyle w:val="lfej"/>
      <w:rPr>
        <w:sz w:val="20"/>
        <w:szCs w:val="20"/>
      </w:rPr>
    </w:pPr>
    <w:r w:rsidRPr="00895E89">
      <w:rPr>
        <w:sz w:val="20"/>
        <w:szCs w:val="20"/>
      </w:rPr>
      <w:t>_____________________________________________________________________________________________</w:t>
    </w:r>
  </w:p>
  <w:p w:rsidR="00CE49FB" w:rsidRDefault="00CE49F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15592"/>
    <w:multiLevelType w:val="multilevel"/>
    <w:tmpl w:val="0FA4745A"/>
    <w:lvl w:ilvl="0">
      <w:start w:val="1"/>
      <w:numFmt w:val="upperRoman"/>
      <w:lvlText w:val="%1."/>
      <w:lvlJc w:val="left"/>
      <w:pPr>
        <w:ind w:left="777"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16cid:durableId="7973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BC"/>
    <w:rsid w:val="000B4603"/>
    <w:rsid w:val="0051380C"/>
    <w:rsid w:val="00562F15"/>
    <w:rsid w:val="00674A73"/>
    <w:rsid w:val="009445B0"/>
    <w:rsid w:val="00982EBC"/>
    <w:rsid w:val="00B542BC"/>
    <w:rsid w:val="00C6052E"/>
    <w:rsid w:val="00CE49FB"/>
    <w:rsid w:val="00DD1E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30F5"/>
  <w15:chartTrackingRefBased/>
  <w15:docId w15:val="{32B15FAA-677B-4736-8F6F-12953AB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kern w:val="2"/>
        <w:sz w:val="22"/>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82EBC"/>
    <w:pPr>
      <w:suppressAutoHyphens/>
    </w:pPr>
    <w:rPr>
      <w:rFonts w:ascii="Times New Roman" w:eastAsia="Noto Sans CJK SC Regular" w:hAnsi="Times New Roman" w:cs="FreeSans"/>
      <w:bCs w:val="0"/>
      <w:sz w:val="24"/>
      <w:lang w:eastAsia="zh-CN" w:bidi="hi-IN"/>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82EBC"/>
    <w:pPr>
      <w:spacing w:after="140" w:line="288" w:lineRule="auto"/>
    </w:pPr>
  </w:style>
  <w:style w:type="character" w:customStyle="1" w:styleId="SzvegtrzsChar">
    <w:name w:val="Szövegtörzs Char"/>
    <w:basedOn w:val="Bekezdsalapbettpusa"/>
    <w:link w:val="Szvegtrzs"/>
    <w:rsid w:val="00982EBC"/>
    <w:rPr>
      <w:rFonts w:ascii="Times New Roman" w:eastAsia="Noto Sans CJK SC Regular" w:hAnsi="Times New Roman" w:cs="FreeSans"/>
      <w:bCs w:val="0"/>
      <w:sz w:val="24"/>
      <w:lang w:eastAsia="zh-CN" w:bidi="hi-IN"/>
      <w14:ligatures w14:val="none"/>
    </w:rPr>
  </w:style>
  <w:style w:type="paragraph" w:styleId="llb">
    <w:name w:val="footer"/>
    <w:basedOn w:val="Norml"/>
    <w:link w:val="llbChar"/>
    <w:rsid w:val="00982EBC"/>
    <w:pPr>
      <w:suppressLineNumbers/>
      <w:tabs>
        <w:tab w:val="center" w:pos="4819"/>
        <w:tab w:val="right" w:pos="9638"/>
      </w:tabs>
    </w:pPr>
  </w:style>
  <w:style w:type="character" w:customStyle="1" w:styleId="llbChar">
    <w:name w:val="Élőláb Char"/>
    <w:basedOn w:val="Bekezdsalapbettpusa"/>
    <w:link w:val="llb"/>
    <w:rsid w:val="00982EBC"/>
    <w:rPr>
      <w:rFonts w:ascii="Times New Roman" w:eastAsia="Noto Sans CJK SC Regular" w:hAnsi="Times New Roman" w:cs="FreeSans"/>
      <w:bCs w:val="0"/>
      <w:sz w:val="24"/>
      <w:lang w:eastAsia="zh-CN" w:bidi="hi-IN"/>
      <w14:ligatures w14:val="none"/>
    </w:rPr>
  </w:style>
  <w:style w:type="paragraph" w:styleId="lfej">
    <w:name w:val="header"/>
    <w:basedOn w:val="Norml"/>
    <w:link w:val="lfejChar"/>
    <w:uiPriority w:val="99"/>
    <w:unhideWhenUsed/>
    <w:rsid w:val="00B542BC"/>
    <w:pPr>
      <w:tabs>
        <w:tab w:val="center" w:pos="4536"/>
        <w:tab w:val="right" w:pos="9072"/>
      </w:tabs>
    </w:pPr>
    <w:rPr>
      <w:rFonts w:cs="Mangal"/>
      <w:szCs w:val="21"/>
    </w:rPr>
  </w:style>
  <w:style w:type="character" w:customStyle="1" w:styleId="lfejChar">
    <w:name w:val="Élőfej Char"/>
    <w:basedOn w:val="Bekezdsalapbettpusa"/>
    <w:link w:val="lfej"/>
    <w:uiPriority w:val="99"/>
    <w:rsid w:val="00B542BC"/>
    <w:rPr>
      <w:rFonts w:ascii="Times New Roman" w:eastAsia="Noto Sans CJK SC Regular" w:hAnsi="Times New Roman" w:cs="Mangal"/>
      <w:bCs w:val="0"/>
      <w:sz w:val="24"/>
      <w:szCs w:val="21"/>
      <w:lang w:eastAsia="zh-CN" w:bidi="hi-IN"/>
      <w14:ligatures w14:val="none"/>
    </w:rPr>
  </w:style>
  <w:style w:type="paragraph" w:styleId="Listaszerbekezds">
    <w:name w:val="List Paragraph"/>
    <w:basedOn w:val="Norml"/>
    <w:uiPriority w:val="34"/>
    <w:qFormat/>
    <w:rsid w:val="009445B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2439</Words>
  <Characters>16831</Characters>
  <Application>Microsoft Office Word</Application>
  <DocSecurity>0</DocSecurity>
  <Lines>140</Lines>
  <Paragraphs>38</Paragraphs>
  <ScaleCrop>false</ScaleCrop>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Gyöngyi</dc:creator>
  <cp:keywords/>
  <dc:description/>
  <cp:lastModifiedBy>Gyöngyi</cp:lastModifiedBy>
  <cp:revision>6</cp:revision>
  <dcterms:created xsi:type="dcterms:W3CDTF">2023-05-02T11:48:00Z</dcterms:created>
  <dcterms:modified xsi:type="dcterms:W3CDTF">2023-05-02T11:57:00Z</dcterms:modified>
</cp:coreProperties>
</file>